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42602" w14:textId="64CA1281" w:rsidR="006367FD" w:rsidRPr="00E4440F" w:rsidRDefault="006367FD" w:rsidP="00651C1B">
      <w:pPr>
        <w:jc w:val="center"/>
        <w:rPr>
          <w:rFonts w:ascii="標楷體" w:eastAsia="標楷體" w:hAnsi="標楷體"/>
        </w:rPr>
      </w:pP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30B01AF8" w14:textId="2CE1F1B1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「</w:t>
      </w:r>
      <w:r w:rsidR="00D02395">
        <w:rPr>
          <w:rFonts w:ascii="標楷體" w:eastAsia="標楷體" w:hAnsi="標楷體" w:hint="eastAsia"/>
          <w:b/>
          <w:sz w:val="48"/>
          <w:szCs w:val="48"/>
        </w:rPr>
        <w:t>113年</w:t>
      </w:r>
      <w:r w:rsidR="007F296E" w:rsidRPr="007F296E">
        <w:rPr>
          <w:rFonts w:ascii="標楷體" w:eastAsia="標楷體" w:hAnsi="標楷體" w:hint="eastAsia"/>
          <w:b/>
          <w:sz w:val="48"/>
          <w:szCs w:val="48"/>
        </w:rPr>
        <w:t>分會網路設備</w:t>
      </w:r>
      <w:r w:rsidR="00EF7DD5">
        <w:rPr>
          <w:rFonts w:ascii="標楷體" w:eastAsia="標楷體" w:hAnsi="標楷體" w:hint="eastAsia"/>
          <w:b/>
          <w:sz w:val="48"/>
          <w:szCs w:val="48"/>
        </w:rPr>
        <w:t>聯合</w:t>
      </w:r>
      <w:r w:rsidR="007F296E" w:rsidRPr="007F296E">
        <w:rPr>
          <w:rFonts w:ascii="標楷體" w:eastAsia="標楷體" w:hAnsi="標楷體" w:hint="eastAsia"/>
          <w:b/>
          <w:sz w:val="48"/>
          <w:szCs w:val="48"/>
        </w:rPr>
        <w:t>採購案</w:t>
      </w:r>
      <w:r w:rsidRPr="00E4440F">
        <w:rPr>
          <w:rFonts w:ascii="標楷體" w:eastAsia="標楷體" w:hAnsi="標楷體" w:hint="eastAsia"/>
          <w:b/>
          <w:sz w:val="48"/>
          <w:szCs w:val="48"/>
        </w:rPr>
        <w:t>」</w:t>
      </w:r>
      <w:r w:rsidR="0004349B"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13721A4E" w14:textId="21C8F369" w:rsidR="00B04A4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70EF4AB0" w:rsidR="002B3BFB" w:rsidRPr="00EB038D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112811" w14:textId="583ADDD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0724CAEC" w14:textId="05B2CD68" w:rsidR="002B3BFB" w:rsidRPr="00E4440F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</w:t>
      </w:r>
      <w:r w:rsidR="004722B6">
        <w:rPr>
          <w:rFonts w:ascii="標楷體" w:eastAsia="標楷體" w:hAnsi="標楷體" w:hint="eastAsia"/>
          <w:b/>
          <w:sz w:val="48"/>
          <w:szCs w:val="48"/>
        </w:rPr>
        <w:t>11</w:t>
      </w:r>
      <w:r w:rsidR="00EB038D">
        <w:rPr>
          <w:rFonts w:ascii="標楷體" w:eastAsia="標楷體" w:hAnsi="標楷體" w:hint="eastAsia"/>
          <w:b/>
          <w:sz w:val="48"/>
          <w:szCs w:val="48"/>
        </w:rPr>
        <w:t>3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78311E">
        <w:rPr>
          <w:rFonts w:ascii="標楷體" w:eastAsia="標楷體" w:hAnsi="標楷體"/>
          <w:b/>
          <w:sz w:val="48"/>
          <w:szCs w:val="48"/>
        </w:rPr>
        <w:t>1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</w:p>
    <w:p w14:paraId="21C93E5B" w14:textId="06228F0D" w:rsidR="00B04A4F" w:rsidRPr="00E4440F" w:rsidRDefault="00B04A4F" w:rsidP="00651C1B">
      <w:pPr>
        <w:widowControl/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</w:rPr>
        <w:br w:type="page"/>
      </w:r>
    </w:p>
    <w:p w14:paraId="1E6CF0E2" w14:textId="77777777" w:rsidR="00B04A4F" w:rsidRPr="009A4292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9A4292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5461E132" w14:textId="79BB8130" w:rsidR="00B04A4F" w:rsidRPr="009A4292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9A4292">
        <w:rPr>
          <w:rFonts w:ascii="標楷體" w:eastAsia="標楷體" w:hAnsi="標楷體" w:hint="eastAsia"/>
          <w:b/>
          <w:sz w:val="44"/>
          <w:szCs w:val="44"/>
        </w:rPr>
        <w:t>「</w:t>
      </w:r>
      <w:r w:rsidR="00D02395" w:rsidRPr="00D02395">
        <w:rPr>
          <w:rFonts w:ascii="標楷體" w:eastAsia="標楷體" w:hAnsi="標楷體" w:hint="eastAsia"/>
          <w:b/>
          <w:sz w:val="44"/>
          <w:szCs w:val="44"/>
        </w:rPr>
        <w:t>113年</w:t>
      </w:r>
      <w:r w:rsidR="00EF7DD5" w:rsidRPr="009A4292">
        <w:rPr>
          <w:rFonts w:ascii="標楷體" w:eastAsia="標楷體" w:hAnsi="標楷體" w:hint="eastAsia"/>
          <w:b/>
          <w:sz w:val="44"/>
          <w:szCs w:val="44"/>
        </w:rPr>
        <w:t>分會網路設備聯合採購案</w:t>
      </w:r>
      <w:r w:rsidRPr="009A4292">
        <w:rPr>
          <w:rFonts w:ascii="標楷體" w:eastAsia="標楷體" w:hAnsi="標楷體" w:hint="eastAsia"/>
          <w:b/>
          <w:sz w:val="44"/>
          <w:szCs w:val="44"/>
        </w:rPr>
        <w:t>」</w:t>
      </w:r>
    </w:p>
    <w:p w14:paraId="3A662C9D" w14:textId="231890D8" w:rsidR="00B04A4F" w:rsidRPr="009A4292" w:rsidRDefault="00B04A4F" w:rsidP="002B3BF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9A4292">
        <w:rPr>
          <w:rFonts w:ascii="標楷體" w:eastAsia="標楷體" w:hAnsi="標楷體" w:hint="eastAsia"/>
          <w:b/>
          <w:sz w:val="44"/>
          <w:szCs w:val="44"/>
        </w:rPr>
        <w:t>需求說明書</w:t>
      </w:r>
    </w:p>
    <w:p w14:paraId="7325D7BC" w14:textId="1D16EBEF" w:rsidR="00B04A4F" w:rsidRPr="009A4292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9A4292">
        <w:rPr>
          <w:rFonts w:ascii="標楷體" w:eastAsia="標楷體" w:hAnsi="標楷體" w:hint="eastAsia"/>
          <w:b/>
          <w:sz w:val="28"/>
          <w:szCs w:val="28"/>
        </w:rPr>
        <w:t>緣起</w:t>
      </w:r>
    </w:p>
    <w:p w14:paraId="1365ECE5" w14:textId="48EE343B" w:rsidR="001A298F" w:rsidRPr="009A4292" w:rsidRDefault="001A298F" w:rsidP="001A298F">
      <w:pPr>
        <w:pStyle w:val="a7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9A4292">
        <w:rPr>
          <w:rFonts w:ascii="標楷體" w:eastAsia="標楷體" w:hAnsi="標楷體" w:hint="eastAsia"/>
          <w:sz w:val="28"/>
          <w:szCs w:val="28"/>
        </w:rPr>
        <w:t>為確保分會新辦公室能與本會業務系統資訊服務、網路系統及資訊設備順利對接</w:t>
      </w:r>
      <w:r w:rsidR="00337DE4">
        <w:rPr>
          <w:rFonts w:ascii="標楷體" w:eastAsia="標楷體" w:hAnsi="標楷體" w:hint="eastAsia"/>
          <w:sz w:val="28"/>
          <w:szCs w:val="28"/>
        </w:rPr>
        <w:t>及相關</w:t>
      </w:r>
      <w:r w:rsidR="00337DE4" w:rsidRPr="00CA605F">
        <w:rPr>
          <w:rFonts w:ascii="標楷體" w:eastAsia="標楷體" w:hAnsi="標楷體" w:hint="eastAsia"/>
          <w:sz w:val="28"/>
          <w:szCs w:val="28"/>
        </w:rPr>
        <w:t>安全防護</w:t>
      </w:r>
      <w:r w:rsidRPr="009A4292">
        <w:rPr>
          <w:rFonts w:ascii="標楷體" w:eastAsia="標楷體" w:hAnsi="標楷體" w:hint="eastAsia"/>
          <w:sz w:val="28"/>
          <w:szCs w:val="28"/>
        </w:rPr>
        <w:t>，爰規劃辦理旨案，以期順利整合及管理相關資訊作業。</w:t>
      </w:r>
    </w:p>
    <w:p w14:paraId="3E9D85E4" w14:textId="50D4F1AC" w:rsidR="00B04A4F" w:rsidRPr="009A4292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9A4292">
        <w:rPr>
          <w:rFonts w:ascii="標楷體" w:eastAsia="標楷體" w:hAnsi="標楷體" w:hint="eastAsia"/>
          <w:b/>
          <w:sz w:val="28"/>
          <w:szCs w:val="28"/>
        </w:rPr>
        <w:t>履約內容</w:t>
      </w:r>
    </w:p>
    <w:p w14:paraId="2FC33D8B" w14:textId="1286DC00" w:rsidR="00B04A4F" w:rsidRPr="009A4292" w:rsidRDefault="009C2252" w:rsidP="006B41D4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9A4292">
        <w:rPr>
          <w:rFonts w:ascii="標楷體" w:eastAsia="標楷體" w:hAnsi="標楷體" w:hint="eastAsia"/>
          <w:sz w:val="28"/>
          <w:szCs w:val="28"/>
        </w:rPr>
        <w:t>硬體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規格</w:t>
      </w:r>
      <w:r w:rsidR="00BF52DB" w:rsidRPr="009A4292">
        <w:rPr>
          <w:rFonts w:ascii="標楷體" w:eastAsia="標楷體" w:hAnsi="標楷體" w:hint="eastAsia"/>
          <w:sz w:val="28"/>
          <w:szCs w:val="28"/>
        </w:rPr>
        <w:t>款式說明如下：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4"/>
        <w:gridCol w:w="1134"/>
        <w:gridCol w:w="709"/>
        <w:gridCol w:w="6662"/>
      </w:tblGrid>
      <w:tr w:rsidR="004722B6" w:rsidRPr="009A4292" w14:paraId="6F98A3C4" w14:textId="77777777" w:rsidTr="009C2252">
        <w:tc>
          <w:tcPr>
            <w:tcW w:w="704" w:type="dxa"/>
          </w:tcPr>
          <w:p w14:paraId="3D7EEC99" w14:textId="77777777" w:rsidR="004722B6" w:rsidRPr="009A4292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項次</w:t>
            </w:r>
          </w:p>
        </w:tc>
        <w:tc>
          <w:tcPr>
            <w:tcW w:w="1134" w:type="dxa"/>
          </w:tcPr>
          <w:p w14:paraId="49477A34" w14:textId="77777777" w:rsidR="004722B6" w:rsidRPr="009A4292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品名</w:t>
            </w:r>
          </w:p>
        </w:tc>
        <w:tc>
          <w:tcPr>
            <w:tcW w:w="709" w:type="dxa"/>
          </w:tcPr>
          <w:p w14:paraId="562807D0" w14:textId="77777777" w:rsidR="004722B6" w:rsidRPr="009A4292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數量</w:t>
            </w:r>
          </w:p>
        </w:tc>
        <w:tc>
          <w:tcPr>
            <w:tcW w:w="6662" w:type="dxa"/>
          </w:tcPr>
          <w:p w14:paraId="58C0981E" w14:textId="77777777" w:rsidR="004722B6" w:rsidRPr="009A4292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規格</w:t>
            </w:r>
          </w:p>
        </w:tc>
      </w:tr>
      <w:tr w:rsidR="004722B6" w:rsidRPr="009A4292" w14:paraId="7523CEA4" w14:textId="77777777" w:rsidTr="009C2252">
        <w:tc>
          <w:tcPr>
            <w:tcW w:w="704" w:type="dxa"/>
          </w:tcPr>
          <w:p w14:paraId="4DCF937C" w14:textId="77777777" w:rsidR="004722B6" w:rsidRPr="009A4292" w:rsidRDefault="004722B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1134" w:type="dxa"/>
          </w:tcPr>
          <w:p w14:paraId="2F59CA80" w14:textId="150B0A99" w:rsidR="004722B6" w:rsidRPr="009A4292" w:rsidRDefault="00D34D2F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防火牆</w:t>
            </w:r>
          </w:p>
        </w:tc>
        <w:tc>
          <w:tcPr>
            <w:tcW w:w="709" w:type="dxa"/>
          </w:tcPr>
          <w:p w14:paraId="22BA4ACC" w14:textId="66CF60B8" w:rsidR="004722B6" w:rsidRPr="009A4292" w:rsidRDefault="00EF7DD5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/>
                <w:szCs w:val="24"/>
              </w:rPr>
              <w:t>6</w:t>
            </w:r>
          </w:p>
        </w:tc>
        <w:tc>
          <w:tcPr>
            <w:tcW w:w="6662" w:type="dxa"/>
          </w:tcPr>
          <w:p w14:paraId="768F829E" w14:textId="3E3A058C" w:rsidR="00D34D2F" w:rsidRPr="009A4292" w:rsidRDefault="00D34D2F" w:rsidP="00D34D2F">
            <w:pPr>
              <w:widowControl/>
              <w:spacing w:after="200" w:line="276" w:lineRule="auto"/>
              <w:contextualSpacing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硬體需求</w:t>
            </w:r>
          </w:p>
          <w:p w14:paraId="4B456BB3" w14:textId="395FBA64" w:rsidR="000E7838" w:rsidRPr="009A4292" w:rsidRDefault="00D34D2F" w:rsidP="0029723E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提供7個(含)以上10/100/1000BaseTX網路埠，並提供1個(含)以上10/100/1000BaseTX管理埠，且具備中文化WebUI 網頁式管理設定介面及 Console指令式設定介面。</w:t>
            </w:r>
          </w:p>
          <w:p w14:paraId="41419768" w14:textId="22D04562" w:rsidR="000E7838" w:rsidRPr="009A4292" w:rsidRDefault="00D34D2F" w:rsidP="0029723E">
            <w:pPr>
              <w:pStyle w:val="a7"/>
              <w:widowControl/>
              <w:numPr>
                <w:ilvl w:val="0"/>
                <w:numId w:val="20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內建64GB(含)以上eMMC儲存空間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D6A6F8C" w14:textId="05D23D1F" w:rsidR="00D34D2F" w:rsidRPr="009A4292" w:rsidRDefault="00D34D2F" w:rsidP="00D34D2F">
            <w:pPr>
              <w:widowControl/>
              <w:spacing w:after="200" w:line="276" w:lineRule="auto"/>
              <w:contextualSpacing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防火牆功能需求</w:t>
            </w:r>
          </w:p>
          <w:p w14:paraId="0C5A4168" w14:textId="7C4DA34F" w:rsidR="000E7838" w:rsidRPr="009A4292" w:rsidRDefault="00D34D2F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在單一設備可執行訂閱服務如威脅監控與阻擋駭客攻擊，功能包括：進階入侵偵測防禦系統(Advanced Threat Prevention)、進階URL 網頁過濾功能、雲端沙箱(Advanced WildFire)、 DNS網路攻擊防禦(DNS Security)、辨識物聯網(IoT)設備裝置、SaaS雲端應用程式阻擋、SD-WAN以應用程式分流等等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D8BF756" w14:textId="2F190341" w:rsidR="000E7838" w:rsidRPr="009A4292" w:rsidRDefault="00D34D2F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設備啟用應用程式識別功能後，處理效能須達1.59Gbps(含)以上，Concurrent Session 須達64,000個(含)以上，每秒新增連線數須達12,000個(含)以上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D9CA629" w14:textId="686CE841" w:rsidR="000E7838" w:rsidRPr="009A4292" w:rsidRDefault="00D34D2F" w:rsidP="00715195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設備同時啟用入侵偵測防禦及病毒防護功能後，處理效能最高可達0.68Gbps(含)以上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0E7838" w:rsidRPr="009A4292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</w:p>
          <w:p w14:paraId="7D9F5FE9" w14:textId="49E13FE2" w:rsidR="000E7838" w:rsidRPr="009A4292" w:rsidRDefault="00D34D2F" w:rsidP="0029723E">
            <w:pPr>
              <w:pStyle w:val="a7"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須可在同一個管理介面下同時提供下列工作模式：旁接模式(TAP)、路由模式(L3)、透通模式(transparent mode)與NAT模式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662F78EF" w14:textId="48D1C6A4" w:rsidR="000E7838" w:rsidRPr="009A4292" w:rsidRDefault="00D34D2F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bookmarkStart w:id="0" w:name="OLE_LINK1"/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須提供路由功能，Static Routes、RIP、OSPFv2/v3、BGP、Policy-based forwarding (基於政策的轉送)等動態路由通訊協定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bookmarkEnd w:id="0"/>
          <w:p w14:paraId="463F5C70" w14:textId="37F31F05" w:rsidR="000E7838" w:rsidRPr="009A4292" w:rsidRDefault="00D34D2F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內建須具備SSL Decryption Port Mirror功能，若設備本身不支援可提供額外的第三方軟體達到此功能。</w:t>
            </w:r>
          </w:p>
          <w:p w14:paraId="07CA18F2" w14:textId="3D383A50" w:rsidR="000E7838" w:rsidRPr="009A4292" w:rsidRDefault="00322A33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64CDB">
              <w:rPr>
                <w:rFonts w:ascii="標楷體" w:eastAsia="標楷體" w:hAnsi="標楷體" w:hint="eastAsia"/>
                <w:color w:val="000000" w:themeColor="text1"/>
                <w:szCs w:val="24"/>
              </w:rPr>
              <w:t>支援</w:t>
            </w:r>
            <w:r w:rsidR="00D34D2F" w:rsidRPr="00864CDB">
              <w:rPr>
                <w:rFonts w:ascii="標楷體" w:eastAsia="標楷體" w:hAnsi="標楷體" w:hint="eastAsia"/>
                <w:color w:val="000000" w:themeColor="text1"/>
                <w:szCs w:val="24"/>
              </w:rPr>
              <w:t>高用性(High Available)功能，</w:t>
            </w:r>
            <w:r w:rsidR="00032801" w:rsidRPr="00864CDB">
              <w:rPr>
                <w:rFonts w:ascii="標楷體" w:eastAsia="標楷體" w:hAnsi="標楷體" w:hint="eastAsia"/>
                <w:color w:val="000000" w:themeColor="text1"/>
                <w:szCs w:val="24"/>
              </w:rPr>
              <w:t>且支援</w:t>
            </w:r>
            <w:r w:rsidR="00D34D2F" w:rsidRPr="00864CDB">
              <w:rPr>
                <w:rFonts w:ascii="標楷體" w:eastAsia="標楷體" w:hAnsi="標楷體" w:hint="eastAsia"/>
                <w:color w:val="000000" w:themeColor="text1"/>
                <w:szCs w:val="24"/>
              </w:rPr>
              <w:t>Ac</w:t>
            </w:r>
            <w:r w:rsidR="00D34D2F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tive-Active與Active-Passive運作模式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A281EAB" w14:textId="280B638C" w:rsidR="000E7838" w:rsidRPr="009A4292" w:rsidRDefault="00D34D2F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設備須內建IPSEC/SSL VPN 遠端使用者連線功能，並且提供250個(含)以上同時使用者連線能力，以滿足本單位使用需求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02D886B" w14:textId="459BEACD" w:rsidR="000E7838" w:rsidRPr="009A4292" w:rsidRDefault="002B45C7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須可在同一時間與各類使用者資料庫(Active Directory (AD), Novell eDirectory, and Sun ONE Directory Server , Microsoft-Exchange, Microsoft Terminal server, LDAP , XML API, Syslog) 緊密整合，並在其間逐一比對使用者資訊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DD76C48" w14:textId="7A6CD20E" w:rsidR="000E7838" w:rsidRPr="009A4292" w:rsidRDefault="002B45C7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提供單一Policy同時以IP(IPv4與IPv6)/ FQDN、使用者帳戶、國家別、應用程式做為控管條件，且須提供4,000種(含)以上應用程式識別能力，並提供控管各類型檔案上傳與下載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6C61BFEC" w14:textId="59FD568F" w:rsidR="000E7838" w:rsidRPr="009A4292" w:rsidRDefault="002B45C7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在資安政策及阻斷式攻擊(DoS)政策中進行管控，以避免遭受攻擊時對網路服務造成影響。可設定Zone Protection可防禦遭受洪水</w:t>
            </w:r>
            <w:r w:rsidR="0061247D">
              <w:rPr>
                <w:rFonts w:ascii="標楷體" w:eastAsia="標楷體" w:hAnsi="標楷體" w:hint="eastAsia"/>
                <w:color w:val="000000" w:themeColor="text1"/>
                <w:szCs w:val="24"/>
              </w:rPr>
              <w:t>﹑</w:t>
            </w: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基於封包和非IP協議的攻擊,可針對Protocol-Based/Volumetric Attacks使其免受有針對性的資源攻擊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D0CC2A8" w14:textId="500A051C" w:rsidR="000E7838" w:rsidRPr="009A4292" w:rsidRDefault="002B45C7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在不需啟用訂閱授權之前提下，可自訂網址並套用至安全管理政策使用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6D94A608" w14:textId="0BF32C8F" w:rsidR="000E7838" w:rsidRPr="009A4292" w:rsidRDefault="002B45C7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提供資安政策可動態讀取(External Dynamic List)外部清單並可額外支援黑名單的IP /URL/ Domain name資訊並隨時調整IP /URL/ Domain name清單可設定至50,000筆(含)以上，以阻斷駭客中繼站連線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AB27C9C" w14:textId="4BB9429D" w:rsidR="000E7838" w:rsidRPr="009A4292" w:rsidRDefault="00D541A2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設備可客製化應用程式識別功能，以便防火牆應用政策管控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2C6368AE" w14:textId="6813EADA" w:rsidR="000E7838" w:rsidRPr="009A4292" w:rsidRDefault="00D541A2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具備DNS Sinkhole反向查詢功能，準確辨識出受害者用戶端，將輸出惡意網域或 IP 位址的要求重新導向到指定 IP 位址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7CB3A65C" w14:textId="291AA653" w:rsidR="000E7838" w:rsidRPr="009A4292" w:rsidRDefault="00D541A2" w:rsidP="0029723E">
            <w:pPr>
              <w:pStyle w:val="a7"/>
              <w:widowControl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具備有效偵測並過濾網路中的已知的惡意軟件、漏洞利用、惡意(C2)連線等行為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3021EBF" w14:textId="1D404DE1" w:rsidR="000E7838" w:rsidRPr="009A4292" w:rsidRDefault="00D541A2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提供即時線上防禦未知的利用嘗試以及命令和控制還可以識別來自 Cobalt Strike 等工具透過 HTTP、SSL、未知 UDP 和未知 TCP 等關鍵協定的 C2 流量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2C1F9540" w14:textId="26F15638" w:rsidR="000E7838" w:rsidRPr="009A4292" w:rsidRDefault="00D541A2" w:rsidP="0029723E">
            <w:pPr>
              <w:pStyle w:val="a7"/>
              <w:widowControl/>
              <w:numPr>
                <w:ilvl w:val="0"/>
                <w:numId w:val="21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具備網站分類資料庫，可提供多達70種(含)以上的網頁類別</w:t>
            </w:r>
            <w:r w:rsidR="000E7838"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5712C7CF" w14:textId="4C3352F0" w:rsidR="00362104" w:rsidRPr="009A4292" w:rsidRDefault="00362104" w:rsidP="005D2FE4">
            <w:pPr>
              <w:pStyle w:val="a7"/>
              <w:numPr>
                <w:ilvl w:val="0"/>
                <w:numId w:val="21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/>
              <w:contextualSpacing/>
              <w:jc w:val="both"/>
              <w:rPr>
                <w:rFonts w:ascii="標楷體" w:eastAsia="標楷體" w:hAnsi="標楷體" w:cs="Times New Roman"/>
                <w:b/>
                <w:bCs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本案須提供壹年入侵偵測防禦及病毒防護功能（Advanced Threat Prevention）、不良網站過濾(AUF Filtering)</w:t>
            </w:r>
            <w:r w:rsidR="005D2FE4" w:rsidRPr="009A4292">
              <w:rPr>
                <w:rFonts w:hint="eastAsia"/>
              </w:rPr>
              <w:t xml:space="preserve"> </w:t>
            </w:r>
            <w:r w:rsidR="005D2FE4" w:rsidRPr="009A429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 雲端沙箱(Advanced WildFire) 、SD-WAN以應用程式分流。</w:t>
            </w:r>
          </w:p>
          <w:p w14:paraId="66B5862A" w14:textId="39A7025F" w:rsidR="00BF7486" w:rsidRPr="009A4292" w:rsidRDefault="00BF7486" w:rsidP="00362104">
            <w:pPr>
              <w:autoSpaceDE w:val="0"/>
              <w:autoSpaceDN w:val="0"/>
              <w:adjustRightInd w:val="0"/>
              <w:snapToGrid w:val="0"/>
              <w:spacing w:line="360" w:lineRule="auto"/>
              <w:contextualSpacing/>
              <w:jc w:val="both"/>
              <w:rPr>
                <w:rFonts w:ascii="標楷體" w:eastAsia="標楷體" w:hAnsi="標楷體" w:cs="Times New Roman"/>
                <w:b/>
                <w:bCs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Cs w:val="24"/>
              </w:rPr>
              <w:t>保固及產地</w:t>
            </w:r>
          </w:p>
          <w:p w14:paraId="5CE8E05C" w14:textId="3F3E6B3A" w:rsidR="00BF7486" w:rsidRPr="009A4292" w:rsidRDefault="00BF7486" w:rsidP="007F0606">
            <w:pPr>
              <w:pStyle w:val="a7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保固：</w:t>
            </w:r>
            <w:r w:rsidR="00362104" w:rsidRPr="009A429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r w:rsidRPr="009A429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年。</w:t>
            </w:r>
          </w:p>
          <w:p w14:paraId="7B2FD5A3" w14:textId="308A7952" w:rsidR="004722B6" w:rsidRPr="009A4292" w:rsidRDefault="00BF7486">
            <w:pPr>
              <w:pStyle w:val="a7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產地：交貨設備產地不得為中國大陸製。</w:t>
            </w:r>
          </w:p>
        </w:tc>
      </w:tr>
      <w:tr w:rsidR="00C72E5C" w:rsidRPr="009A4292" w14:paraId="637224E2" w14:textId="77777777" w:rsidTr="009C2252">
        <w:tc>
          <w:tcPr>
            <w:tcW w:w="704" w:type="dxa"/>
          </w:tcPr>
          <w:p w14:paraId="334DE680" w14:textId="78476DF2" w:rsidR="00060EB9" w:rsidRPr="009A4292" w:rsidRDefault="00C72E5C">
            <w:pPr>
              <w:rPr>
                <w:rFonts w:ascii="標楷體" w:eastAsia="標楷體" w:hAnsi="標楷體" w:cs="Times New Roman"/>
                <w:szCs w:val="24"/>
              </w:rPr>
            </w:pPr>
            <w:bookmarkStart w:id="1" w:name="_Hlk153124267"/>
            <w:r w:rsidRPr="009A4292">
              <w:rPr>
                <w:rFonts w:ascii="標楷體" w:eastAsia="標楷體" w:hAnsi="標楷體" w:cs="Times New Roman" w:hint="eastAsia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14:paraId="4E908B19" w14:textId="447313B4" w:rsidR="00C72E5C" w:rsidRPr="009A4292" w:rsidRDefault="00D4787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網路</w:t>
            </w:r>
            <w:r w:rsidR="00C72E5C" w:rsidRPr="009A4292">
              <w:rPr>
                <w:rFonts w:ascii="標楷體" w:eastAsia="標楷體" w:hAnsi="標楷體" w:cs="Times New Roman" w:hint="eastAsia"/>
                <w:szCs w:val="24"/>
              </w:rPr>
              <w:t>交換機</w:t>
            </w:r>
          </w:p>
        </w:tc>
        <w:tc>
          <w:tcPr>
            <w:tcW w:w="709" w:type="dxa"/>
          </w:tcPr>
          <w:p w14:paraId="1A352CAE" w14:textId="7509DA07" w:rsidR="00C72E5C" w:rsidRPr="009A4292" w:rsidRDefault="00EF7DD5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060EB9" w:rsidRPr="009A4292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6662" w:type="dxa"/>
          </w:tcPr>
          <w:p w14:paraId="2DBC0485" w14:textId="4B86C41F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設備須提供24 埠(含)以上100/1000Base-T 介面。提供4 埠(含)以上SFP+ 介面，並可支援SX、LX、SR、LR、LH 等光纖介面</w:t>
            </w:r>
            <w:r w:rsidR="00252278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21063D48" w14:textId="50D901E8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提供動態記憶體2GB(含)以上，提供2GB(含)以上Flash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0769BA44" w14:textId="365CDDD2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 L2 與L3 效能達 95 Mpps(含)以上，及128 Gbps(含)以上處理能力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7E1B84A3" w14:textId="0B8CF092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封包</w:t>
            </w:r>
            <w:r w:rsidRPr="009A4292">
              <w:rPr>
                <w:rFonts w:ascii="標楷體" w:eastAsia="標楷體" w:hAnsi="標楷體"/>
                <w:color w:val="000000" w:themeColor="text1"/>
                <w:szCs w:val="24"/>
              </w:rPr>
              <w:t>(Jumbo Frames)</w:t>
            </w: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功能，最大的傳輸單位</w:t>
            </w:r>
            <w:r w:rsidRPr="009A4292">
              <w:rPr>
                <w:rFonts w:ascii="標楷體" w:eastAsia="標楷體" w:hAnsi="標楷體"/>
                <w:color w:val="000000" w:themeColor="text1"/>
                <w:szCs w:val="24"/>
              </w:rPr>
              <w:t>(MTU)</w:t>
            </w: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可逹</w:t>
            </w:r>
            <w:r w:rsidRPr="009A4292">
              <w:rPr>
                <w:rFonts w:ascii="標楷體" w:eastAsia="標楷體" w:hAnsi="標楷體"/>
                <w:color w:val="000000" w:themeColor="text1"/>
                <w:szCs w:val="24"/>
              </w:rPr>
              <w:t>9,198 Bytes(</w:t>
            </w: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含</w:t>
            </w:r>
            <w:r w:rsidRPr="009A4292">
              <w:rPr>
                <w:rFonts w:ascii="標楷體" w:eastAsia="標楷體" w:hAnsi="標楷體"/>
                <w:color w:val="000000" w:themeColor="text1"/>
                <w:szCs w:val="24"/>
              </w:rPr>
              <w:t>)</w:t>
            </w: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以上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00BC5B6D" w14:textId="4116D5A1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 16,000(含)以上 MAC Addresses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550C21F7" w14:textId="69CF02ED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硬體式 IPv4 unicast 路由數4,096 筆 (含)以上及具備IPv6 unicast路由功能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4D7FD181" w14:textId="4F423A1E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提供虛擬網路架構(VLAN)規劃能力，具備4,000 個(含)以上的VLAN-ID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3B951FD3" w14:textId="760139D2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提供雙向(Ingress/Egress)ACL 功能，可在每個連接埠上進行網路存取控制設定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62F2B2F3" w14:textId="62E2EA42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提供路由協定：Static Route、RIP v1/v2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13C7F131" w14:textId="1C8C2C35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A4292">
              <w:rPr>
                <w:rFonts w:ascii="標楷體" w:eastAsia="標楷體" w:hAnsi="標楷體" w:hint="eastAsia"/>
                <w:color w:val="000000" w:themeColor="text1"/>
                <w:szCs w:val="24"/>
              </w:rPr>
              <w:t>支援原機升級OSPF、OSPFv3及RIPng</w:t>
            </w:r>
            <w:r w:rsidR="00512CC6" w:rsidRPr="009A4292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14:paraId="787CA144" w14:textId="274302F1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提供 IEEE 802.1p CoS，每個連接埠並提供8 個(含)以上egress hardware queues，以保證QoS 服務品質管理功能</w:t>
            </w:r>
            <w:r w:rsidR="00512CC6" w:rsidRPr="009A4292">
              <w:rPr>
                <w:rFonts w:ascii="標楷體" w:eastAsia="標楷體" w:hAnsi="標楷體"/>
                <w:szCs w:val="24"/>
              </w:rPr>
              <w:t>。</w:t>
            </w:r>
          </w:p>
          <w:p w14:paraId="1D0F2AA7" w14:textId="54DA3960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支援 IGMP、IGMPv2功能IGMP Snooping 功能，具備FBF或PBR或Routing policy</w:t>
            </w:r>
            <w:r w:rsidR="00512CC6" w:rsidRPr="009A4292">
              <w:rPr>
                <w:rFonts w:ascii="標楷體" w:eastAsia="標楷體" w:hAnsi="標楷體"/>
                <w:szCs w:val="24"/>
              </w:rPr>
              <w:t>。</w:t>
            </w:r>
          </w:p>
          <w:p w14:paraId="2A54CFBA" w14:textId="2650825A" w:rsidR="00362104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提供 IEEE 802.1x 等級安全管理。</w:t>
            </w:r>
          </w:p>
          <w:p w14:paraId="6BA2F9B9" w14:textId="63762BC2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支援 SSH、SNMPv1/v2c/v3、RMON、Telnet 及Web-Based 網管功能介面</w:t>
            </w:r>
            <w:r w:rsidR="00512CC6" w:rsidRPr="009A4292">
              <w:rPr>
                <w:rFonts w:ascii="標楷體" w:eastAsia="標楷體" w:hAnsi="標楷體"/>
                <w:szCs w:val="24"/>
              </w:rPr>
              <w:t>。</w:t>
            </w:r>
          </w:p>
          <w:p w14:paraId="66530FE9" w14:textId="06FEF631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具備 Port Mirror(SPAN)或Traffic Mirror</w:t>
            </w:r>
            <w:r w:rsidR="00512CC6" w:rsidRPr="009A4292">
              <w:rPr>
                <w:rFonts w:ascii="標楷體" w:eastAsia="標楷體" w:hAnsi="標楷體"/>
                <w:szCs w:val="24"/>
              </w:rPr>
              <w:t>。</w:t>
            </w:r>
          </w:p>
          <w:p w14:paraId="51D95E09" w14:textId="77777777" w:rsidR="00DA2D22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可透過 IEEE 802.3ad 功能，可提供頻寬整合能力，可整合達128 組(含)以上及每組8 個連接埠(含)以上的連接能力。</w:t>
            </w:r>
          </w:p>
          <w:p w14:paraId="71CC28D0" w14:textId="169783C6" w:rsidR="00512CC6" w:rsidRPr="009A4292" w:rsidRDefault="00DA2D22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支援堆疊(Stacking)或虛擬機箱(Virtual Chassis)功能，提供交換頻寬達80Gbps(含)以上</w:t>
            </w:r>
            <w:r w:rsidR="00512CC6" w:rsidRPr="009A4292">
              <w:rPr>
                <w:rFonts w:ascii="標楷體" w:eastAsia="標楷體" w:hAnsi="標楷體"/>
                <w:szCs w:val="24"/>
              </w:rPr>
              <w:t>。</w:t>
            </w:r>
          </w:p>
          <w:p w14:paraId="4046A920" w14:textId="77777777" w:rsidR="00512CC6" w:rsidRPr="009A4292" w:rsidRDefault="00512CC6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/>
                <w:szCs w:val="24"/>
              </w:rPr>
              <w:t>提供Netflow或sFlow流量監控功能。</w:t>
            </w:r>
          </w:p>
          <w:p w14:paraId="71D30A50" w14:textId="77777777" w:rsidR="00512CC6" w:rsidRPr="009A4292" w:rsidRDefault="00512CC6" w:rsidP="0029723E">
            <w:pPr>
              <w:pStyle w:val="a7"/>
              <w:widowControl/>
              <w:numPr>
                <w:ilvl w:val="0"/>
                <w:numId w:val="19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/>
                <w:szCs w:val="24"/>
              </w:rPr>
              <w:t>須具備LED指示燈顯示工作狀態。</w:t>
            </w:r>
          </w:p>
          <w:p w14:paraId="786D4D06" w14:textId="77777777" w:rsidR="00C72E5C" w:rsidRPr="009A4292" w:rsidRDefault="00512CC6" w:rsidP="0029723E">
            <w:pPr>
              <w:pStyle w:val="a7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/>
                <w:szCs w:val="24"/>
              </w:rPr>
              <w:t>需符合UL、CSA、EN、FCC等安規與電磁效應標準。</w:t>
            </w:r>
          </w:p>
          <w:p w14:paraId="20165192" w14:textId="0C2423A6" w:rsidR="00362104" w:rsidRPr="009A4292" w:rsidRDefault="00362104" w:rsidP="0029723E">
            <w:pPr>
              <w:pStyle w:val="a7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本案所提供之交換器需</w:t>
            </w:r>
            <w:r w:rsidR="009C2252" w:rsidRPr="009A4292">
              <w:rPr>
                <w:rFonts w:ascii="標楷體" w:eastAsia="標楷體" w:hAnsi="標楷體" w:cs="Times New Roman" w:hint="eastAsia"/>
                <w:szCs w:val="24"/>
              </w:rPr>
              <w:t>與總會</w:t>
            </w:r>
            <w:r w:rsidRPr="009A4292">
              <w:rPr>
                <w:rFonts w:ascii="標楷體" w:eastAsia="標楷體" w:hAnsi="標楷體" w:cs="Times New Roman" w:hint="eastAsia"/>
                <w:szCs w:val="24"/>
              </w:rPr>
              <w:t>為同一廠牌以利網路管理</w:t>
            </w:r>
            <w:r w:rsidR="009C2252" w:rsidRPr="009A4292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63CA91E" w14:textId="77777777" w:rsidR="007A5A3A" w:rsidRPr="009A4292" w:rsidRDefault="007A5A3A" w:rsidP="007A5A3A">
            <w:pPr>
              <w:autoSpaceDE w:val="0"/>
              <w:autoSpaceDN w:val="0"/>
              <w:adjustRightInd w:val="0"/>
              <w:snapToGrid w:val="0"/>
              <w:spacing w:line="360" w:lineRule="auto"/>
              <w:contextualSpacing/>
              <w:jc w:val="both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保固及產地</w:t>
            </w:r>
          </w:p>
          <w:p w14:paraId="7030CA8C" w14:textId="77777777" w:rsidR="007A5A3A" w:rsidRPr="009A4292" w:rsidRDefault="007A5A3A" w:rsidP="007A5A3A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保固：五年。</w:t>
            </w:r>
          </w:p>
          <w:p w14:paraId="04FFC696" w14:textId="1AD75738" w:rsidR="007A5A3A" w:rsidRPr="009A4292" w:rsidRDefault="007A5A3A" w:rsidP="007A5A3A">
            <w:pPr>
              <w:spacing w:line="320" w:lineRule="exact"/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產地：交貨設備產地不得為中國大陸製。</w:t>
            </w:r>
          </w:p>
        </w:tc>
      </w:tr>
      <w:bookmarkEnd w:id="1"/>
      <w:tr w:rsidR="00157CE1" w:rsidRPr="009A4292" w14:paraId="2327E2D4" w14:textId="77777777" w:rsidTr="00514C06">
        <w:tc>
          <w:tcPr>
            <w:tcW w:w="704" w:type="dxa"/>
          </w:tcPr>
          <w:p w14:paraId="1E5FAAD2" w14:textId="414CBA66" w:rsidR="00157CE1" w:rsidRPr="009A4292" w:rsidRDefault="00157CE1" w:rsidP="00514C0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14:paraId="5728EC7D" w14:textId="766DEF4C" w:rsidR="00157CE1" w:rsidRPr="009A4292" w:rsidRDefault="00157CE1" w:rsidP="00514C0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標準型2</w:t>
            </w:r>
            <w:r w:rsidRPr="009A4292">
              <w:rPr>
                <w:rFonts w:ascii="標楷體" w:eastAsia="標楷體" w:hAnsi="標楷體" w:cs="Times New Roman"/>
                <w:szCs w:val="24"/>
              </w:rPr>
              <w:t>0U</w:t>
            </w:r>
            <w:r w:rsidRPr="009A4292">
              <w:rPr>
                <w:rFonts w:ascii="標楷體" w:eastAsia="標楷體" w:hAnsi="標楷體" w:cs="Times New Roman" w:hint="eastAsia"/>
                <w:szCs w:val="24"/>
              </w:rPr>
              <w:t>機櫃</w:t>
            </w:r>
          </w:p>
        </w:tc>
        <w:tc>
          <w:tcPr>
            <w:tcW w:w="709" w:type="dxa"/>
          </w:tcPr>
          <w:p w14:paraId="58056C13" w14:textId="13822013" w:rsidR="00157CE1" w:rsidRPr="009A4292" w:rsidRDefault="00EB038D" w:rsidP="00514C0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6662" w:type="dxa"/>
          </w:tcPr>
          <w:p w14:paraId="630FE79F" w14:textId="778B1A7F" w:rsidR="00157CE1" w:rsidRPr="009A4292" w:rsidRDefault="00EB038D" w:rsidP="00EB038D">
            <w:pPr>
              <w:pStyle w:val="a7"/>
              <w:widowControl/>
              <w:numPr>
                <w:ilvl w:val="0"/>
                <w:numId w:val="22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標準型機櫃通過UL、CE認證、SGS公證單位認證耐壓1500KG以上</w:t>
            </w:r>
            <w:r w:rsidR="00157CE1" w:rsidRPr="009A4292">
              <w:rPr>
                <w:rFonts w:ascii="標楷體" w:eastAsia="標楷體" w:hAnsi="標楷體"/>
                <w:szCs w:val="24"/>
              </w:rPr>
              <w:t>。</w:t>
            </w:r>
          </w:p>
          <w:p w14:paraId="66F8F2E5" w14:textId="53F8DFD5" w:rsidR="00EB038D" w:rsidRPr="009A4292" w:rsidRDefault="00027D42" w:rsidP="00EB038D">
            <w:pPr>
              <w:pStyle w:val="a7"/>
              <w:widowControl/>
              <w:numPr>
                <w:ilvl w:val="0"/>
                <w:numId w:val="22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機箱</w:t>
            </w:r>
            <w:r w:rsidR="00B64489" w:rsidRPr="009A4292">
              <w:rPr>
                <w:rFonts w:ascii="標楷體" w:eastAsia="標楷體" w:hAnsi="標楷體" w:hint="eastAsia"/>
                <w:szCs w:val="24"/>
              </w:rPr>
              <w:t>整體</w:t>
            </w:r>
            <w:r w:rsidRPr="009A4292">
              <w:rPr>
                <w:rFonts w:ascii="標楷體" w:eastAsia="標楷體" w:hAnsi="標楷體" w:hint="eastAsia"/>
                <w:szCs w:val="24"/>
              </w:rPr>
              <w:t>外寬60</w:t>
            </w:r>
            <w:r w:rsidR="00B64489" w:rsidRPr="009A4292">
              <w:rPr>
                <w:rFonts w:ascii="標楷體" w:eastAsia="標楷體" w:hAnsi="標楷體" w:hint="eastAsia"/>
                <w:szCs w:val="24"/>
              </w:rPr>
              <w:t>c</w:t>
            </w:r>
            <w:r w:rsidR="00B64489" w:rsidRPr="009A4292">
              <w:rPr>
                <w:rFonts w:ascii="標楷體" w:eastAsia="標楷體" w:hAnsi="標楷體"/>
                <w:szCs w:val="24"/>
              </w:rPr>
              <w:t>m</w:t>
            </w:r>
            <w:r w:rsidR="00B64489" w:rsidRPr="009A4292">
              <w:rPr>
                <w:rFonts w:ascii="標楷體" w:eastAsia="標楷體" w:hAnsi="標楷體" w:hint="eastAsia"/>
                <w:szCs w:val="24"/>
              </w:rPr>
              <w:t>*</w:t>
            </w:r>
            <w:r w:rsidRPr="009A4292">
              <w:rPr>
                <w:rFonts w:ascii="標楷體" w:eastAsia="標楷體" w:hAnsi="標楷體" w:hint="eastAsia"/>
                <w:szCs w:val="24"/>
              </w:rPr>
              <w:t>高度108</w:t>
            </w:r>
            <w:r w:rsidR="00B64489" w:rsidRPr="009A4292">
              <w:rPr>
                <w:rFonts w:ascii="標楷體" w:eastAsia="標楷體" w:hAnsi="標楷體" w:hint="eastAsia"/>
                <w:szCs w:val="24"/>
              </w:rPr>
              <w:t>c</w:t>
            </w:r>
            <w:r w:rsidR="00B64489" w:rsidRPr="009A4292">
              <w:rPr>
                <w:rFonts w:ascii="標楷體" w:eastAsia="標楷體" w:hAnsi="標楷體"/>
                <w:szCs w:val="24"/>
              </w:rPr>
              <w:t>m</w:t>
            </w:r>
            <w:r w:rsidR="00B64489" w:rsidRPr="009A4292">
              <w:rPr>
                <w:rFonts w:ascii="標楷體" w:eastAsia="標楷體" w:hAnsi="標楷體" w:hint="eastAsia"/>
                <w:szCs w:val="24"/>
              </w:rPr>
              <w:t>*</w:t>
            </w:r>
            <w:r w:rsidRPr="009A4292">
              <w:rPr>
                <w:rFonts w:ascii="標楷體" w:eastAsia="標楷體" w:hAnsi="標楷體" w:hint="eastAsia"/>
                <w:szCs w:val="24"/>
              </w:rPr>
              <w:t>深度77</w:t>
            </w:r>
            <w:r w:rsidR="00B64489" w:rsidRPr="009A4292">
              <w:rPr>
                <w:rFonts w:ascii="標楷體" w:eastAsia="標楷體" w:hAnsi="標楷體" w:hint="eastAsia"/>
                <w:szCs w:val="24"/>
              </w:rPr>
              <w:t>c</w:t>
            </w:r>
            <w:r w:rsidR="00B64489" w:rsidRPr="009A4292">
              <w:rPr>
                <w:rFonts w:ascii="標楷體" w:eastAsia="標楷體" w:hAnsi="標楷體"/>
                <w:szCs w:val="24"/>
              </w:rPr>
              <w:t>m</w:t>
            </w:r>
            <w:r w:rsidRPr="009A4292">
              <w:rPr>
                <w:rFonts w:ascii="標楷體" w:eastAsia="標楷體" w:hAnsi="標楷體" w:hint="eastAsia"/>
                <w:szCs w:val="24"/>
              </w:rPr>
              <w:t>(含)以上。</w:t>
            </w:r>
          </w:p>
          <w:p w14:paraId="7FED59B8" w14:textId="70BFC430" w:rsidR="00027D42" w:rsidRPr="009A4292" w:rsidRDefault="00027D42" w:rsidP="00EB038D">
            <w:pPr>
              <w:pStyle w:val="a7"/>
              <w:widowControl/>
              <w:numPr>
                <w:ilvl w:val="0"/>
                <w:numId w:val="22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機櫃經水洗及鉻酸皮膜處理後，採用熱硬化粉體塗裝，可防止生鏽氧化及刮傷、脫漆以延長鋁材壽命，烤漆粉料皆通過SGS公證單位認證。</w:t>
            </w:r>
          </w:p>
          <w:p w14:paraId="7266A27C" w14:textId="62ABFB78" w:rsidR="003958BF" w:rsidRPr="009A4292" w:rsidRDefault="003E3726" w:rsidP="00EB038D">
            <w:pPr>
              <w:pStyle w:val="a7"/>
              <w:widowControl/>
              <w:numPr>
                <w:ilvl w:val="0"/>
                <w:numId w:val="22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機櫃整體外觀無螺絲設計，機櫃下方安裝可拆式2.5吋動煞車輪及4吋地平調整螺絲，可防止儀器架滑動且方便調整機櫃水平。</w:t>
            </w:r>
          </w:p>
          <w:p w14:paraId="65EDF838" w14:textId="3EF783CA" w:rsidR="003E3726" w:rsidRPr="009A4292" w:rsidRDefault="00B64489" w:rsidP="00EB038D">
            <w:pPr>
              <w:pStyle w:val="a7"/>
              <w:widowControl/>
              <w:numPr>
                <w:ilvl w:val="0"/>
                <w:numId w:val="22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t>可拆式側板採無螺絲扣件設計，上下三段式上蓋板，以利上方走線，標準配備於上蓋板安裝靜音散熱風扇2只，並加裝防護裝置。</w:t>
            </w:r>
          </w:p>
          <w:p w14:paraId="471D154A" w14:textId="2F750D77" w:rsidR="00027D42" w:rsidRPr="009A4292" w:rsidRDefault="00027D42" w:rsidP="00EB038D">
            <w:pPr>
              <w:pStyle w:val="a7"/>
              <w:widowControl/>
              <w:numPr>
                <w:ilvl w:val="0"/>
                <w:numId w:val="22"/>
              </w:numPr>
              <w:spacing w:after="200" w:line="276" w:lineRule="auto"/>
              <w:ind w:leftChars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9A4292">
              <w:rPr>
                <w:rFonts w:ascii="標楷體" w:eastAsia="標楷體" w:hAnsi="標楷體" w:hint="eastAsia"/>
                <w:szCs w:val="24"/>
              </w:rPr>
              <w:lastRenderedPageBreak/>
              <w:t>為配合儀器線路使用空間，機櫃寬度為600mm ，內部副鋁柱則維持19”(482mm)寬度。</w:t>
            </w:r>
          </w:p>
          <w:p w14:paraId="482D8293" w14:textId="77777777" w:rsidR="00157CE1" w:rsidRPr="009A4292" w:rsidRDefault="00157CE1" w:rsidP="00514C06">
            <w:pPr>
              <w:autoSpaceDE w:val="0"/>
              <w:autoSpaceDN w:val="0"/>
              <w:adjustRightInd w:val="0"/>
              <w:snapToGrid w:val="0"/>
              <w:spacing w:line="360" w:lineRule="auto"/>
              <w:contextualSpacing/>
              <w:jc w:val="both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保固及產地</w:t>
            </w:r>
          </w:p>
          <w:p w14:paraId="14F70A9C" w14:textId="77777777" w:rsidR="00157CE1" w:rsidRPr="009A4292" w:rsidRDefault="00157CE1" w:rsidP="00514C06">
            <w:pPr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保固：一年。</w:t>
            </w:r>
          </w:p>
          <w:p w14:paraId="645EC7E7" w14:textId="77777777" w:rsidR="00157CE1" w:rsidRPr="009A4292" w:rsidRDefault="00157CE1" w:rsidP="00514C06">
            <w:pPr>
              <w:spacing w:line="320" w:lineRule="exact"/>
              <w:rPr>
                <w:rFonts w:ascii="標楷體" w:eastAsia="標楷體" w:hAnsi="標楷體" w:cs="Times New Roman"/>
                <w:szCs w:val="24"/>
              </w:rPr>
            </w:pPr>
            <w:r w:rsidRPr="009A4292">
              <w:rPr>
                <w:rFonts w:ascii="標楷體" w:eastAsia="標楷體" w:hAnsi="標楷體" w:cs="Times New Roman" w:hint="eastAsia"/>
                <w:szCs w:val="24"/>
              </w:rPr>
              <w:t>產地：交貨設備產地不得為中國大陸製。</w:t>
            </w:r>
          </w:p>
        </w:tc>
      </w:tr>
    </w:tbl>
    <w:p w14:paraId="60C906B3" w14:textId="77777777" w:rsidR="0029723E" w:rsidRPr="009A4292" w:rsidRDefault="0029723E" w:rsidP="00131BCA">
      <w:pPr>
        <w:jc w:val="both"/>
        <w:rPr>
          <w:rFonts w:ascii="標楷體" w:eastAsia="標楷體" w:hAnsi="標楷體"/>
          <w:sz w:val="28"/>
          <w:szCs w:val="28"/>
        </w:rPr>
      </w:pPr>
      <w:bookmarkStart w:id="2" w:name="_Hlk98165049"/>
    </w:p>
    <w:p w14:paraId="40A23AFC" w14:textId="716C6EA3" w:rsidR="00C72E5C" w:rsidRPr="009A4292" w:rsidRDefault="007512AA" w:rsidP="004722B6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9A4292">
        <w:rPr>
          <w:rFonts w:ascii="標楷體" w:eastAsia="標楷體" w:hAnsi="標楷體" w:hint="eastAsia"/>
          <w:sz w:val="28"/>
          <w:szCs w:val="28"/>
        </w:rPr>
        <w:t>安裝</w:t>
      </w:r>
      <w:r w:rsidR="00D47876" w:rsidRPr="009A4292">
        <w:rPr>
          <w:rFonts w:ascii="標楷體" w:eastAsia="標楷體" w:hAnsi="標楷體" w:hint="eastAsia"/>
          <w:sz w:val="28"/>
          <w:szCs w:val="28"/>
        </w:rPr>
        <w:t>設定</w:t>
      </w:r>
      <w:r w:rsidRPr="009A4292">
        <w:rPr>
          <w:rFonts w:ascii="標楷體" w:eastAsia="標楷體" w:hAnsi="標楷體" w:hint="eastAsia"/>
          <w:sz w:val="28"/>
          <w:szCs w:val="28"/>
        </w:rPr>
        <w:t>及</w:t>
      </w:r>
      <w:r w:rsidR="005F27C1" w:rsidRPr="009A4292">
        <w:rPr>
          <w:rFonts w:ascii="標楷體" w:eastAsia="標楷體" w:hAnsi="標楷體" w:hint="eastAsia"/>
          <w:sz w:val="28"/>
          <w:szCs w:val="28"/>
        </w:rPr>
        <w:t>移轉</w:t>
      </w:r>
      <w:r w:rsidR="00D47876" w:rsidRPr="009A4292">
        <w:rPr>
          <w:rFonts w:ascii="標楷體" w:eastAsia="標楷體" w:hAnsi="標楷體" w:hint="eastAsia"/>
          <w:sz w:val="28"/>
          <w:szCs w:val="28"/>
        </w:rPr>
        <w:t>服務</w:t>
      </w:r>
    </w:p>
    <w:p w14:paraId="31441569" w14:textId="636D58DC" w:rsidR="004C6C8E" w:rsidRPr="00CA605F" w:rsidRDefault="00A85FAF" w:rsidP="005F27C1">
      <w:pPr>
        <w:pStyle w:val="a7"/>
        <w:numPr>
          <w:ilvl w:val="0"/>
          <w:numId w:val="16"/>
        </w:numPr>
        <w:ind w:leftChars="0"/>
        <w:jc w:val="both"/>
        <w:rPr>
          <w:rFonts w:ascii="標楷體" w:eastAsia="標楷體" w:hAnsi="標楷體"/>
          <w:szCs w:val="24"/>
        </w:rPr>
      </w:pPr>
      <w:r w:rsidRPr="00CA605F">
        <w:rPr>
          <w:rFonts w:ascii="標楷體" w:eastAsia="標楷體" w:hAnsi="標楷體" w:hint="eastAsia"/>
          <w:szCs w:val="24"/>
        </w:rPr>
        <w:t>需負責本案新購之</w:t>
      </w:r>
      <w:r w:rsidR="00197433" w:rsidRPr="00CA605F">
        <w:rPr>
          <w:rFonts w:ascii="標楷體" w:eastAsia="標楷體" w:hAnsi="標楷體" w:hint="eastAsia"/>
          <w:szCs w:val="24"/>
        </w:rPr>
        <w:t>防火牆﹑網路交換器</w:t>
      </w:r>
      <w:r w:rsidR="00AB3434" w:rsidRPr="00CA605F">
        <w:rPr>
          <w:rFonts w:ascii="標楷體" w:eastAsia="標楷體" w:hAnsi="標楷體" w:hint="eastAsia"/>
          <w:szCs w:val="24"/>
        </w:rPr>
        <w:t>相關軟體及</w:t>
      </w:r>
      <w:r w:rsidRPr="00CA605F">
        <w:rPr>
          <w:rFonts w:ascii="標楷體" w:eastAsia="標楷體" w:hAnsi="標楷體" w:hint="eastAsia"/>
          <w:szCs w:val="24"/>
        </w:rPr>
        <w:t>硬體</w:t>
      </w:r>
      <w:r w:rsidR="00AB3434" w:rsidRPr="00CA605F">
        <w:rPr>
          <w:rFonts w:ascii="標楷體" w:eastAsia="標楷體" w:hAnsi="標楷體" w:hint="eastAsia"/>
          <w:szCs w:val="24"/>
        </w:rPr>
        <w:t>安裝設定</w:t>
      </w:r>
      <w:r w:rsidR="00A43E19" w:rsidRPr="00CA605F">
        <w:rPr>
          <w:rFonts w:ascii="標楷體" w:eastAsia="標楷體" w:hAnsi="標楷體" w:hint="eastAsia"/>
          <w:szCs w:val="24"/>
        </w:rPr>
        <w:t>及技術</w:t>
      </w:r>
      <w:r w:rsidR="00514F62" w:rsidRPr="00CA605F">
        <w:rPr>
          <w:rFonts w:ascii="標楷體" w:eastAsia="標楷體" w:hAnsi="標楷體" w:hint="eastAsia"/>
          <w:szCs w:val="24"/>
        </w:rPr>
        <w:t>支援諮詢</w:t>
      </w:r>
      <w:r w:rsidR="00B03984" w:rsidRPr="00CA605F">
        <w:rPr>
          <w:rFonts w:ascii="標楷體" w:eastAsia="標楷體" w:hAnsi="標楷體" w:hint="eastAsia"/>
          <w:szCs w:val="24"/>
        </w:rPr>
        <w:t>。</w:t>
      </w:r>
    </w:p>
    <w:p w14:paraId="616C251C" w14:textId="64317BE7" w:rsidR="005F27C1" w:rsidRPr="009A4292" w:rsidRDefault="005A401B" w:rsidP="00B64489">
      <w:pPr>
        <w:pStyle w:val="a7"/>
        <w:numPr>
          <w:ilvl w:val="0"/>
          <w:numId w:val="16"/>
        </w:numPr>
        <w:ind w:leftChars="0"/>
        <w:jc w:val="both"/>
        <w:rPr>
          <w:rFonts w:ascii="標楷體" w:eastAsia="標楷體" w:hAnsi="標楷體"/>
          <w:szCs w:val="24"/>
        </w:rPr>
      </w:pPr>
      <w:r w:rsidRPr="009A4292">
        <w:rPr>
          <w:rFonts w:ascii="標楷體" w:eastAsia="標楷體" w:hAnsi="標楷體" w:cs="Arial"/>
          <w:color w:val="343434"/>
          <w:szCs w:val="24"/>
          <w:shd w:val="clear" w:color="auto" w:fill="FFFFFF"/>
        </w:rPr>
        <w:t>盤點</w:t>
      </w:r>
      <w:r w:rsidR="00145B7F"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既有</w:t>
      </w:r>
      <w:r w:rsidR="0051567E"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資訊資產</w:t>
      </w:r>
      <w:r w:rsidRPr="009A4292">
        <w:rPr>
          <w:rFonts w:ascii="標楷體" w:eastAsia="標楷體" w:hAnsi="標楷體" w:cs="Arial"/>
          <w:color w:val="343434"/>
          <w:szCs w:val="24"/>
          <w:shd w:val="clear" w:color="auto" w:fill="FFFFFF"/>
        </w:rPr>
        <w:t>舊</w:t>
      </w:r>
      <w:r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設備</w:t>
      </w:r>
      <w:r w:rsidR="0051567E"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之</w:t>
      </w:r>
      <w:r w:rsidRPr="009A4292">
        <w:rPr>
          <w:rFonts w:ascii="標楷體" w:eastAsia="標楷體" w:hAnsi="標楷體" w:cs="Arial"/>
          <w:color w:val="343434"/>
          <w:szCs w:val="24"/>
          <w:shd w:val="clear" w:color="auto" w:fill="FFFFFF"/>
        </w:rPr>
        <w:t>架構與</w:t>
      </w:r>
      <w:r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設定</w:t>
      </w:r>
      <w:r w:rsidRPr="009A4292">
        <w:rPr>
          <w:rFonts w:ascii="標楷體" w:eastAsia="標楷體" w:hAnsi="標楷體" w:cs="Arial"/>
          <w:color w:val="343434"/>
          <w:szCs w:val="24"/>
          <w:shd w:val="clear" w:color="auto" w:fill="FFFFFF"/>
        </w:rPr>
        <w:t>，分析</w:t>
      </w:r>
      <w:r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並提供</w:t>
      </w:r>
      <w:r w:rsidRPr="009A4292">
        <w:rPr>
          <w:rFonts w:ascii="標楷體" w:eastAsia="標楷體" w:hAnsi="標楷體" w:cs="Arial"/>
          <w:color w:val="343434"/>
          <w:szCs w:val="24"/>
          <w:shd w:val="clear" w:color="auto" w:fill="FFFFFF"/>
        </w:rPr>
        <w:t>移轉</w:t>
      </w:r>
      <w:r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計畫</w:t>
      </w:r>
      <w:r w:rsidR="005B6983"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及工作實施</w:t>
      </w:r>
      <w:r w:rsidRPr="009A4292">
        <w:rPr>
          <w:rFonts w:ascii="標楷體" w:eastAsia="標楷體" w:hAnsi="標楷體" w:cs="Arial"/>
          <w:color w:val="343434"/>
          <w:szCs w:val="24"/>
          <w:shd w:val="clear" w:color="auto" w:fill="FFFFFF"/>
        </w:rPr>
        <w:t>，確</w:t>
      </w:r>
      <w:r w:rsidR="001C7BA7"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保</w:t>
      </w:r>
      <w:r w:rsidRPr="009A4292">
        <w:rPr>
          <w:rFonts w:ascii="標楷體" w:eastAsia="標楷體" w:hAnsi="標楷體" w:cs="Arial"/>
          <w:color w:val="343434"/>
          <w:szCs w:val="24"/>
          <w:shd w:val="clear" w:color="auto" w:fill="FFFFFF"/>
        </w:rPr>
        <w:t>移轉之</w:t>
      </w:r>
      <w:r w:rsidR="007512AA"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作業程序及停機風險影響</w:t>
      </w:r>
      <w:r w:rsidR="006B5B62" w:rsidRPr="009A4292">
        <w:rPr>
          <w:rFonts w:ascii="標楷體" w:eastAsia="標楷體" w:hAnsi="標楷體" w:cs="Arial" w:hint="eastAsia"/>
          <w:color w:val="343434"/>
          <w:szCs w:val="24"/>
          <w:shd w:val="clear" w:color="auto" w:fill="FFFFFF"/>
        </w:rPr>
        <w:t>範圍</w:t>
      </w:r>
      <w:r w:rsidR="007512AA" w:rsidRPr="009A4292">
        <w:rPr>
          <w:rFonts w:ascii="標楷體" w:eastAsia="標楷體" w:hAnsi="標楷體" w:hint="eastAsia"/>
          <w:szCs w:val="24"/>
        </w:rPr>
        <w:t>。</w:t>
      </w:r>
    </w:p>
    <w:p w14:paraId="0482DE8C" w14:textId="1E0D5E3C" w:rsidR="00C72E5C" w:rsidRPr="00B04F15" w:rsidRDefault="00CA2E86" w:rsidP="00C72E5C">
      <w:pPr>
        <w:pStyle w:val="a7"/>
        <w:numPr>
          <w:ilvl w:val="0"/>
          <w:numId w:val="16"/>
        </w:numPr>
        <w:ind w:leftChars="0"/>
        <w:jc w:val="both"/>
        <w:rPr>
          <w:rFonts w:ascii="標楷體" w:eastAsia="標楷體" w:hAnsi="標楷體"/>
          <w:szCs w:val="24"/>
        </w:rPr>
      </w:pPr>
      <w:r w:rsidRPr="009A4292">
        <w:rPr>
          <w:rFonts w:ascii="標楷體" w:eastAsia="標楷體" w:hAnsi="標楷體" w:hint="eastAsia"/>
          <w:szCs w:val="24"/>
        </w:rPr>
        <w:t>協助與對外網路通訊</w:t>
      </w:r>
      <w:r w:rsidRPr="009A4292">
        <w:rPr>
          <w:rFonts w:ascii="標楷體" w:eastAsia="標楷體" w:hAnsi="標楷體"/>
          <w:szCs w:val="24"/>
        </w:rPr>
        <w:t>ISP</w:t>
      </w:r>
      <w:r w:rsidR="006B5B62" w:rsidRPr="009A4292">
        <w:rPr>
          <w:rFonts w:ascii="標楷體" w:eastAsia="標楷體" w:hAnsi="標楷體" w:hint="eastAsia"/>
          <w:szCs w:val="24"/>
        </w:rPr>
        <w:t xml:space="preserve"> </w:t>
      </w:r>
      <w:r w:rsidRPr="009A4292">
        <w:rPr>
          <w:rFonts w:ascii="標楷體" w:eastAsia="標楷體" w:hAnsi="標楷體"/>
          <w:szCs w:val="24"/>
        </w:rPr>
        <w:t>(</w:t>
      </w:r>
      <w:r w:rsidRPr="009A4292">
        <w:rPr>
          <w:rFonts w:ascii="標楷體" w:eastAsia="標楷體" w:hAnsi="標楷體" w:hint="eastAsia"/>
          <w:szCs w:val="24"/>
        </w:rPr>
        <w:t>中華電信</w:t>
      </w:r>
      <w:r w:rsidRPr="009A4292">
        <w:rPr>
          <w:rFonts w:ascii="標楷體" w:eastAsia="標楷體" w:hAnsi="標楷體"/>
          <w:szCs w:val="24"/>
        </w:rPr>
        <w:t>)</w:t>
      </w:r>
      <w:r w:rsidR="006B5B62" w:rsidRPr="009A4292">
        <w:rPr>
          <w:rFonts w:ascii="標楷體" w:eastAsia="標楷體" w:hAnsi="標楷體" w:hint="eastAsia"/>
          <w:szCs w:val="24"/>
        </w:rPr>
        <w:t xml:space="preserve"> 跟總</w:t>
      </w:r>
      <w:r w:rsidR="00A5138E" w:rsidRPr="009A4292">
        <w:rPr>
          <w:rFonts w:ascii="標楷體" w:eastAsia="標楷體" w:hAnsi="標楷體" w:hint="eastAsia"/>
          <w:szCs w:val="24"/>
        </w:rPr>
        <w:t>會</w:t>
      </w:r>
      <w:r w:rsidR="006B5B62" w:rsidRPr="009A4292">
        <w:rPr>
          <w:rFonts w:ascii="標楷體" w:eastAsia="標楷體" w:hAnsi="標楷體" w:hint="eastAsia"/>
          <w:szCs w:val="24"/>
        </w:rPr>
        <w:t>之</w:t>
      </w:r>
      <w:r w:rsidR="00A5138E" w:rsidRPr="009A4292">
        <w:rPr>
          <w:rFonts w:ascii="標楷體" w:eastAsia="標楷體" w:hAnsi="標楷體" w:hint="eastAsia"/>
          <w:szCs w:val="24"/>
        </w:rPr>
        <w:t>分點網路之通訊配置規劃</w:t>
      </w:r>
      <w:r w:rsidR="006B5B62" w:rsidRPr="009A4292">
        <w:rPr>
          <w:rFonts w:ascii="標楷體" w:eastAsia="標楷體" w:hAnsi="標楷體" w:hint="eastAsia"/>
          <w:szCs w:val="24"/>
        </w:rPr>
        <w:t>及設定，和</w:t>
      </w:r>
      <w:r w:rsidR="00A5138E" w:rsidRPr="009A4292">
        <w:rPr>
          <w:rFonts w:ascii="標楷體" w:eastAsia="標楷體" w:hAnsi="標楷體" w:hint="eastAsia"/>
          <w:szCs w:val="24"/>
        </w:rPr>
        <w:t>技術支援諮詢</w:t>
      </w:r>
      <w:r w:rsidR="006B5B62" w:rsidRPr="009A4292">
        <w:rPr>
          <w:rFonts w:ascii="標楷體" w:eastAsia="標楷體" w:hAnsi="標楷體" w:hint="eastAsia"/>
          <w:szCs w:val="24"/>
        </w:rPr>
        <w:t>。</w:t>
      </w:r>
      <w:bookmarkEnd w:id="2"/>
    </w:p>
    <w:p w14:paraId="2FF95AAB" w14:textId="6337D686" w:rsidR="004722B6" w:rsidRPr="009A4292" w:rsidRDefault="00A3333A" w:rsidP="004722B6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9A4292">
        <w:rPr>
          <w:rFonts w:ascii="標楷體" w:eastAsia="標楷體" w:hAnsi="標楷體" w:hint="eastAsia"/>
          <w:b/>
          <w:sz w:val="28"/>
          <w:szCs w:val="28"/>
        </w:rPr>
        <w:t>履約期程注意事項</w:t>
      </w:r>
      <w:r w:rsidR="000D521F" w:rsidRPr="009A4292">
        <w:rPr>
          <w:rFonts w:ascii="標楷體" w:eastAsia="標楷體" w:hAnsi="標楷體" w:hint="eastAsia"/>
          <w:b/>
          <w:sz w:val="28"/>
          <w:szCs w:val="28"/>
        </w:rPr>
        <w:t>（交貨驗收）</w:t>
      </w:r>
    </w:p>
    <w:p w14:paraId="70EAD788" w14:textId="77777777" w:rsidR="00A33BE6" w:rsidRPr="009A4292" w:rsidRDefault="00E4440F" w:rsidP="00E8152B">
      <w:pPr>
        <w:ind w:leftChars="315" w:left="1316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A4292">
        <w:rPr>
          <w:rFonts w:ascii="標楷體" w:eastAsia="標楷體" w:hAnsi="標楷體" w:hint="eastAsia"/>
          <w:sz w:val="28"/>
          <w:szCs w:val="28"/>
        </w:rPr>
        <w:t>一</w:t>
      </w:r>
      <w:r w:rsidR="00911B31" w:rsidRPr="009A4292">
        <w:rPr>
          <w:rFonts w:ascii="標楷體" w:eastAsia="標楷體" w:hAnsi="標楷體" w:hint="eastAsia"/>
          <w:sz w:val="28"/>
          <w:szCs w:val="28"/>
        </w:rPr>
        <w:t>、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得標廠商須依前述各項硬體設備，提供原廠出廠及保固證明，且於驗收時提供正本備驗。</w:t>
      </w:r>
    </w:p>
    <w:p w14:paraId="5B30C2B1" w14:textId="33797DA6" w:rsidR="00911B31" w:rsidRPr="009A4292" w:rsidRDefault="00E4440F" w:rsidP="00A10BE7">
      <w:pPr>
        <w:ind w:leftChars="315" w:left="1316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A4292">
        <w:rPr>
          <w:rFonts w:ascii="標楷體" w:eastAsia="標楷體" w:hAnsi="標楷體" w:hint="eastAsia"/>
          <w:sz w:val="28"/>
          <w:szCs w:val="28"/>
        </w:rPr>
        <w:t>二</w:t>
      </w:r>
      <w:r w:rsidR="00911B31" w:rsidRPr="009A4292">
        <w:rPr>
          <w:rFonts w:ascii="標楷體" w:eastAsia="標楷體" w:hAnsi="標楷體" w:hint="eastAsia"/>
          <w:sz w:val="28"/>
          <w:szCs w:val="28"/>
        </w:rPr>
        <w:t>、</w:t>
      </w:r>
      <w:r w:rsidR="005313D6" w:rsidRPr="009A4292">
        <w:rPr>
          <w:rFonts w:ascii="標楷體" w:eastAsia="標楷體" w:hAnsi="標楷體" w:hint="eastAsia"/>
          <w:sz w:val="28"/>
          <w:szCs w:val="28"/>
        </w:rPr>
        <w:t>得標廠商需配合本單位資訊設備</w:t>
      </w:r>
      <w:r w:rsidR="009C2252" w:rsidRPr="009A4292">
        <w:rPr>
          <w:rFonts w:ascii="標楷體" w:eastAsia="標楷體" w:hAnsi="標楷體" w:hint="eastAsia"/>
          <w:sz w:val="28"/>
          <w:szCs w:val="28"/>
        </w:rPr>
        <w:t>建置</w:t>
      </w:r>
      <w:r w:rsidR="005313D6" w:rsidRPr="009A4292">
        <w:rPr>
          <w:rFonts w:ascii="標楷體" w:eastAsia="標楷體" w:hAnsi="標楷體" w:hint="eastAsia"/>
          <w:sz w:val="28"/>
          <w:szCs w:val="28"/>
        </w:rPr>
        <w:t>案，於決標次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日起</w:t>
      </w:r>
      <w:r w:rsidR="00E83756">
        <w:rPr>
          <w:rFonts w:ascii="標楷體" w:eastAsia="標楷體" w:hAnsi="標楷體" w:hint="eastAsia"/>
          <w:sz w:val="28"/>
          <w:szCs w:val="28"/>
        </w:rPr>
        <w:t>至</w:t>
      </w:r>
      <w:r w:rsidR="00581D65">
        <w:rPr>
          <w:rFonts w:ascii="標楷體" w:eastAsia="標楷體" w:hAnsi="標楷體" w:hint="eastAsia"/>
          <w:sz w:val="28"/>
          <w:szCs w:val="28"/>
        </w:rPr>
        <w:t>113</w:t>
      </w:r>
      <w:bookmarkStart w:id="3" w:name="_GoBack"/>
      <w:bookmarkEnd w:id="3"/>
      <w:r w:rsidR="00E83756">
        <w:rPr>
          <w:rFonts w:ascii="標楷體" w:eastAsia="標楷體" w:hAnsi="標楷體" w:hint="eastAsia"/>
          <w:sz w:val="28"/>
          <w:szCs w:val="28"/>
        </w:rPr>
        <w:t>年12月31日</w:t>
      </w:r>
      <w:r w:rsidR="00D151C1" w:rsidRPr="009A4292">
        <w:rPr>
          <w:rFonts w:ascii="標楷體" w:eastAsia="標楷體" w:hAnsi="標楷體" w:hint="eastAsia"/>
          <w:sz w:val="28"/>
          <w:szCs w:val="28"/>
        </w:rPr>
        <w:t>個工作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日內交貨</w:t>
      </w:r>
      <w:r w:rsidR="00A93C1D" w:rsidRPr="009A4292">
        <w:rPr>
          <w:rFonts w:ascii="標楷體" w:eastAsia="標楷體" w:hAnsi="標楷體" w:hint="eastAsia"/>
          <w:sz w:val="28"/>
          <w:szCs w:val="28"/>
        </w:rPr>
        <w:t>，交貨時應依下開第三、</w:t>
      </w:r>
      <w:r w:rsidR="00D151C1" w:rsidRPr="009A4292">
        <w:rPr>
          <w:rFonts w:ascii="標楷體" w:eastAsia="標楷體" w:hAnsi="標楷體" w:hint="eastAsia"/>
          <w:sz w:val="28"/>
          <w:szCs w:val="28"/>
        </w:rPr>
        <w:t>四點</w:t>
      </w:r>
      <w:r w:rsidR="00A93C1D" w:rsidRPr="009A4292">
        <w:rPr>
          <w:rFonts w:ascii="標楷體" w:eastAsia="標楷體" w:hAnsi="標楷體" w:hint="eastAsia"/>
          <w:sz w:val="28"/>
          <w:szCs w:val="28"/>
        </w:rPr>
        <w:t>及五點</w:t>
      </w:r>
      <w:r w:rsidR="00D151C1" w:rsidRPr="009A4292">
        <w:rPr>
          <w:rFonts w:ascii="標楷體" w:eastAsia="標楷體" w:hAnsi="標楷體" w:hint="eastAsia"/>
          <w:sz w:val="28"/>
          <w:szCs w:val="28"/>
        </w:rPr>
        <w:t>辦理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。</w:t>
      </w:r>
    </w:p>
    <w:p w14:paraId="27A46B85" w14:textId="49C64652" w:rsidR="00564AB0" w:rsidRPr="009A4292" w:rsidRDefault="00330F4A" w:rsidP="00E8152B">
      <w:pPr>
        <w:pStyle w:val="a7"/>
        <w:ind w:leftChars="315" w:left="1316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A4292">
        <w:rPr>
          <w:rFonts w:ascii="標楷體" w:eastAsia="標楷體" w:hAnsi="標楷體" w:hint="eastAsia"/>
          <w:sz w:val="28"/>
          <w:szCs w:val="28"/>
        </w:rPr>
        <w:t>三、</w:t>
      </w:r>
      <w:r w:rsidR="00564AB0" w:rsidRPr="009A4292">
        <w:rPr>
          <w:rFonts w:ascii="標楷體" w:eastAsia="標楷體" w:hAnsi="標楷體" w:hint="eastAsia"/>
          <w:sz w:val="28"/>
          <w:szCs w:val="28"/>
        </w:rPr>
        <w:t>硬體</w:t>
      </w:r>
      <w:r w:rsidRPr="009A4292">
        <w:rPr>
          <w:rFonts w:ascii="標楷體" w:eastAsia="標楷體" w:hAnsi="標楷體" w:hint="eastAsia"/>
          <w:sz w:val="28"/>
          <w:szCs w:val="28"/>
        </w:rPr>
        <w:t>交貨地點：</w:t>
      </w:r>
      <w:r w:rsidR="002E284E">
        <w:rPr>
          <w:rFonts w:ascii="標楷體" w:eastAsia="標楷體" w:hAnsi="標楷體" w:hint="eastAsia"/>
          <w:sz w:val="28"/>
          <w:szCs w:val="28"/>
        </w:rPr>
        <w:t>總會或分會</w:t>
      </w:r>
    </w:p>
    <w:p w14:paraId="7D748351" w14:textId="057BC4E9" w:rsidR="000D521F" w:rsidRPr="009A4292" w:rsidRDefault="00564AB0" w:rsidP="00E8152B">
      <w:pPr>
        <w:ind w:leftChars="315" w:left="1316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9A4292">
        <w:rPr>
          <w:rFonts w:ascii="標楷體" w:eastAsia="標楷體" w:hAnsi="標楷體" w:hint="eastAsia"/>
          <w:sz w:val="28"/>
          <w:szCs w:val="28"/>
        </w:rPr>
        <w:t>五</w:t>
      </w:r>
      <w:r w:rsidR="00911B31" w:rsidRPr="009A4292">
        <w:rPr>
          <w:rFonts w:ascii="標楷體" w:eastAsia="標楷體" w:hAnsi="標楷體" w:hint="eastAsia"/>
          <w:sz w:val="28"/>
          <w:szCs w:val="28"/>
        </w:rPr>
        <w:t>、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得標廠商需配合本單位資訊設備</w:t>
      </w:r>
      <w:r w:rsidR="009C2252" w:rsidRPr="009A4292">
        <w:rPr>
          <w:rFonts w:ascii="標楷體" w:eastAsia="標楷體" w:hAnsi="標楷體" w:hint="eastAsia"/>
          <w:sz w:val="28"/>
          <w:szCs w:val="28"/>
        </w:rPr>
        <w:t>建置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案，依指定時間、地點將相關設備送達並完成安裝</w:t>
      </w:r>
      <w:r w:rsidR="00533516" w:rsidRPr="009A4292">
        <w:rPr>
          <w:rFonts w:ascii="標楷體" w:eastAsia="標楷體" w:hAnsi="標楷體" w:hint="eastAsia"/>
          <w:sz w:val="28"/>
          <w:szCs w:val="28"/>
        </w:rPr>
        <w:t>及設定</w:t>
      </w:r>
      <w:r w:rsidR="00A33BE6" w:rsidRPr="009A4292">
        <w:rPr>
          <w:rFonts w:ascii="標楷體" w:eastAsia="標楷體" w:hAnsi="標楷體" w:hint="eastAsia"/>
          <w:sz w:val="28"/>
          <w:szCs w:val="28"/>
        </w:rPr>
        <w:t>。</w:t>
      </w:r>
    </w:p>
    <w:p w14:paraId="49D7F8E7" w14:textId="782E71AC" w:rsidR="000D521F" w:rsidRPr="009A4292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9A4292">
        <w:rPr>
          <w:rFonts w:ascii="標楷體" w:eastAsia="標楷體" w:hAnsi="標楷體" w:hint="eastAsia"/>
          <w:b/>
          <w:sz w:val="28"/>
          <w:szCs w:val="28"/>
        </w:rPr>
        <w:t>付款方式</w:t>
      </w:r>
    </w:p>
    <w:p w14:paraId="3D40736D" w14:textId="0BAE081C" w:rsidR="0064613F" w:rsidRPr="00915FD5" w:rsidRDefault="0086652A" w:rsidP="00915FD5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 w:rsidRPr="00864CDB">
        <w:rPr>
          <w:rFonts w:ascii="標楷體" w:eastAsia="標楷體" w:hAnsi="標楷體" w:hint="eastAsia"/>
          <w:sz w:val="28"/>
          <w:szCs w:val="28"/>
        </w:rPr>
        <w:t>前述各項相關硬體設備</w:t>
      </w:r>
      <w:r w:rsidR="00533516" w:rsidRPr="00CA605F">
        <w:rPr>
          <w:rFonts w:ascii="標楷體" w:eastAsia="標楷體" w:hAnsi="標楷體" w:hint="eastAsia"/>
          <w:sz w:val="28"/>
          <w:szCs w:val="28"/>
        </w:rPr>
        <w:t>安裝</w:t>
      </w:r>
      <w:r w:rsidR="00FD13CB" w:rsidRPr="00CA605F">
        <w:rPr>
          <w:rFonts w:ascii="標楷體" w:eastAsia="標楷體" w:hAnsi="標楷體" w:hint="eastAsia"/>
          <w:sz w:val="28"/>
          <w:szCs w:val="28"/>
        </w:rPr>
        <w:t>及整合調整</w:t>
      </w:r>
      <w:r w:rsidR="00533516" w:rsidRPr="00CA605F">
        <w:rPr>
          <w:rFonts w:ascii="標楷體" w:eastAsia="標楷體" w:hAnsi="標楷體" w:hint="eastAsia"/>
          <w:sz w:val="28"/>
          <w:szCs w:val="28"/>
        </w:rPr>
        <w:t>設定</w:t>
      </w:r>
      <w:r w:rsidR="004722B6" w:rsidRPr="00CA605F">
        <w:rPr>
          <w:rFonts w:ascii="標楷體" w:eastAsia="標楷體" w:hAnsi="標楷體" w:hint="eastAsia"/>
          <w:sz w:val="28"/>
          <w:szCs w:val="28"/>
        </w:rPr>
        <w:t>完成</w:t>
      </w:r>
      <w:r w:rsidR="004722B6" w:rsidRPr="009A4292">
        <w:rPr>
          <w:rFonts w:ascii="標楷體" w:eastAsia="標楷體" w:hAnsi="標楷體" w:hint="eastAsia"/>
          <w:sz w:val="28"/>
          <w:szCs w:val="28"/>
        </w:rPr>
        <w:t>確定本會暨所屬分會能正常連線及上網，</w:t>
      </w:r>
      <w:r w:rsidR="00DE40CF" w:rsidRPr="009A4292">
        <w:rPr>
          <w:rFonts w:ascii="標楷體" w:eastAsia="標楷體" w:hAnsi="標楷體" w:hint="eastAsia"/>
          <w:sz w:val="28"/>
          <w:szCs w:val="28"/>
        </w:rPr>
        <w:t>驗收</w:t>
      </w:r>
      <w:r w:rsidR="00533516" w:rsidRPr="009A4292">
        <w:rPr>
          <w:rFonts w:ascii="標楷體" w:eastAsia="標楷體" w:hAnsi="標楷體" w:hint="eastAsia"/>
          <w:sz w:val="28"/>
          <w:szCs w:val="28"/>
        </w:rPr>
        <w:t>完畢後付款</w:t>
      </w:r>
      <w:r w:rsidR="00330F4A" w:rsidRPr="009A4292">
        <w:rPr>
          <w:rFonts w:ascii="標楷體" w:eastAsia="標楷體" w:hAnsi="標楷體" w:hint="eastAsia"/>
          <w:sz w:val="28"/>
          <w:szCs w:val="28"/>
        </w:rPr>
        <w:t>。</w:t>
      </w:r>
    </w:p>
    <w:sectPr w:rsidR="0064613F" w:rsidRPr="00915FD5" w:rsidSect="0064613F">
      <w:pgSz w:w="11906" w:h="16838"/>
      <w:pgMar w:top="1440" w:right="1133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ADA4" w14:textId="77777777" w:rsidR="00FE5668" w:rsidRDefault="00FE5668" w:rsidP="00B04A4F">
      <w:r>
        <w:separator/>
      </w:r>
    </w:p>
  </w:endnote>
  <w:endnote w:type="continuationSeparator" w:id="0">
    <w:p w14:paraId="1824C70D" w14:textId="77777777" w:rsidR="00FE5668" w:rsidRDefault="00FE5668" w:rsidP="00B04A4F">
      <w:r>
        <w:continuationSeparator/>
      </w:r>
    </w:p>
  </w:endnote>
  <w:endnote w:type="continuationNotice" w:id="1">
    <w:p w14:paraId="31CA5835" w14:textId="77777777" w:rsidR="00FE5668" w:rsidRDefault="00FE56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全真楷書">
    <w:altName w:val="微軟正黑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8D92B" w14:textId="77777777" w:rsidR="00FE5668" w:rsidRDefault="00FE5668" w:rsidP="00B04A4F">
      <w:r>
        <w:separator/>
      </w:r>
    </w:p>
  </w:footnote>
  <w:footnote w:type="continuationSeparator" w:id="0">
    <w:p w14:paraId="736A5C9A" w14:textId="77777777" w:rsidR="00FE5668" w:rsidRDefault="00FE5668" w:rsidP="00B04A4F">
      <w:r>
        <w:continuationSeparator/>
      </w:r>
    </w:p>
  </w:footnote>
  <w:footnote w:type="continuationNotice" w:id="1">
    <w:p w14:paraId="168EF1DA" w14:textId="77777777" w:rsidR="00FE5668" w:rsidRDefault="00FE56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55C1"/>
    <w:multiLevelType w:val="hybridMultilevel"/>
    <w:tmpl w:val="AA389C2C"/>
    <w:lvl w:ilvl="0" w:tplc="2D324DA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92014E"/>
    <w:multiLevelType w:val="hybridMultilevel"/>
    <w:tmpl w:val="89FE72DE"/>
    <w:lvl w:ilvl="0" w:tplc="0409000F">
      <w:start w:val="1"/>
      <w:numFmt w:val="decimal"/>
      <w:lvlText w:val="%1."/>
      <w:lvlJc w:val="left"/>
      <w:pPr>
        <w:ind w:left="7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98" w:hanging="480"/>
      </w:pPr>
    </w:lvl>
    <w:lvl w:ilvl="2" w:tplc="0409001B" w:tentative="1">
      <w:start w:val="1"/>
      <w:numFmt w:val="lowerRoman"/>
      <w:lvlText w:val="%3."/>
      <w:lvlJc w:val="right"/>
      <w:pPr>
        <w:ind w:left="1678" w:hanging="480"/>
      </w:pPr>
    </w:lvl>
    <w:lvl w:ilvl="3" w:tplc="0409000F" w:tentative="1">
      <w:start w:val="1"/>
      <w:numFmt w:val="decimal"/>
      <w:lvlText w:val="%4."/>
      <w:lvlJc w:val="left"/>
      <w:pPr>
        <w:ind w:left="21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8" w:hanging="480"/>
      </w:pPr>
    </w:lvl>
    <w:lvl w:ilvl="5" w:tplc="0409001B" w:tentative="1">
      <w:start w:val="1"/>
      <w:numFmt w:val="lowerRoman"/>
      <w:lvlText w:val="%6."/>
      <w:lvlJc w:val="right"/>
      <w:pPr>
        <w:ind w:left="3118" w:hanging="480"/>
      </w:pPr>
    </w:lvl>
    <w:lvl w:ilvl="6" w:tplc="0409000F" w:tentative="1">
      <w:start w:val="1"/>
      <w:numFmt w:val="decimal"/>
      <w:lvlText w:val="%7."/>
      <w:lvlJc w:val="left"/>
      <w:pPr>
        <w:ind w:left="35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8" w:hanging="480"/>
      </w:pPr>
    </w:lvl>
    <w:lvl w:ilvl="8" w:tplc="0409001B" w:tentative="1">
      <w:start w:val="1"/>
      <w:numFmt w:val="lowerRoman"/>
      <w:lvlText w:val="%9."/>
      <w:lvlJc w:val="right"/>
      <w:pPr>
        <w:ind w:left="4558" w:hanging="480"/>
      </w:pPr>
    </w:lvl>
  </w:abstractNum>
  <w:abstractNum w:abstractNumId="2" w15:restartNumberingAfterBreak="0">
    <w:nsid w:val="0EC66531"/>
    <w:multiLevelType w:val="hybridMultilevel"/>
    <w:tmpl w:val="1ED089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1D16E0"/>
    <w:multiLevelType w:val="hybridMultilevel"/>
    <w:tmpl w:val="89FE72DE"/>
    <w:lvl w:ilvl="0" w:tplc="FFFFFFFF">
      <w:start w:val="1"/>
      <w:numFmt w:val="decimal"/>
      <w:lvlText w:val="%1."/>
      <w:lvlJc w:val="left"/>
      <w:pPr>
        <w:ind w:left="718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198" w:hanging="480"/>
      </w:pPr>
    </w:lvl>
    <w:lvl w:ilvl="2" w:tplc="FFFFFFFF" w:tentative="1">
      <w:start w:val="1"/>
      <w:numFmt w:val="lowerRoman"/>
      <w:lvlText w:val="%3."/>
      <w:lvlJc w:val="right"/>
      <w:pPr>
        <w:ind w:left="1678" w:hanging="480"/>
      </w:pPr>
    </w:lvl>
    <w:lvl w:ilvl="3" w:tplc="FFFFFFFF" w:tentative="1">
      <w:start w:val="1"/>
      <w:numFmt w:val="decimal"/>
      <w:lvlText w:val="%4."/>
      <w:lvlJc w:val="left"/>
      <w:pPr>
        <w:ind w:left="215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38" w:hanging="480"/>
      </w:pPr>
    </w:lvl>
    <w:lvl w:ilvl="5" w:tplc="FFFFFFFF" w:tentative="1">
      <w:start w:val="1"/>
      <w:numFmt w:val="lowerRoman"/>
      <w:lvlText w:val="%6."/>
      <w:lvlJc w:val="right"/>
      <w:pPr>
        <w:ind w:left="3118" w:hanging="480"/>
      </w:pPr>
    </w:lvl>
    <w:lvl w:ilvl="6" w:tplc="FFFFFFFF" w:tentative="1">
      <w:start w:val="1"/>
      <w:numFmt w:val="decimal"/>
      <w:lvlText w:val="%7."/>
      <w:lvlJc w:val="left"/>
      <w:pPr>
        <w:ind w:left="359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078" w:hanging="480"/>
      </w:pPr>
    </w:lvl>
    <w:lvl w:ilvl="8" w:tplc="FFFFFFFF" w:tentative="1">
      <w:start w:val="1"/>
      <w:numFmt w:val="lowerRoman"/>
      <w:lvlText w:val="%9."/>
      <w:lvlJc w:val="right"/>
      <w:pPr>
        <w:ind w:left="4558" w:hanging="480"/>
      </w:pPr>
    </w:lvl>
  </w:abstractNum>
  <w:abstractNum w:abstractNumId="4" w15:restartNumberingAfterBreak="0">
    <w:nsid w:val="19741C81"/>
    <w:multiLevelType w:val="hybridMultilevel"/>
    <w:tmpl w:val="4664CD4E"/>
    <w:lvl w:ilvl="0" w:tplc="D236FA96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1127F0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87B2ED8"/>
    <w:multiLevelType w:val="hybridMultilevel"/>
    <w:tmpl w:val="F1389774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8" w15:restartNumberingAfterBreak="0">
    <w:nsid w:val="3B5B4EE5"/>
    <w:multiLevelType w:val="hybridMultilevel"/>
    <w:tmpl w:val="73D894B8"/>
    <w:lvl w:ilvl="0" w:tplc="055034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134FB9"/>
    <w:multiLevelType w:val="hybridMultilevel"/>
    <w:tmpl w:val="812628C0"/>
    <w:lvl w:ilvl="0" w:tplc="DE9A7282">
      <w:start w:val="1"/>
      <w:numFmt w:val="decimal"/>
      <w:lvlText w:val="%1.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0" w15:restartNumberingAfterBreak="0">
    <w:nsid w:val="424C25EE"/>
    <w:multiLevelType w:val="hybridMultilevel"/>
    <w:tmpl w:val="2CEA7134"/>
    <w:lvl w:ilvl="0" w:tplc="2D324DA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5FA3FC0"/>
    <w:multiLevelType w:val="hybridMultilevel"/>
    <w:tmpl w:val="0F047C52"/>
    <w:lvl w:ilvl="0" w:tplc="DCFC6E22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803EE1"/>
    <w:multiLevelType w:val="hybridMultilevel"/>
    <w:tmpl w:val="A1CC99C0"/>
    <w:lvl w:ilvl="0" w:tplc="A142E14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8BC2A9F"/>
    <w:multiLevelType w:val="hybridMultilevel"/>
    <w:tmpl w:val="623039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0232532"/>
    <w:multiLevelType w:val="hybridMultilevel"/>
    <w:tmpl w:val="75F0E0E0"/>
    <w:lvl w:ilvl="0" w:tplc="F84616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3F63C5F"/>
    <w:multiLevelType w:val="hybridMultilevel"/>
    <w:tmpl w:val="BEEAC59E"/>
    <w:lvl w:ilvl="0" w:tplc="B7DE7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896684"/>
    <w:multiLevelType w:val="hybridMultilevel"/>
    <w:tmpl w:val="0CC41B54"/>
    <w:lvl w:ilvl="0" w:tplc="B5668F18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A1A6BF6"/>
    <w:multiLevelType w:val="hybridMultilevel"/>
    <w:tmpl w:val="38BC02E8"/>
    <w:lvl w:ilvl="0" w:tplc="20247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F7A0E33"/>
    <w:multiLevelType w:val="hybridMultilevel"/>
    <w:tmpl w:val="42A07514"/>
    <w:lvl w:ilvl="0" w:tplc="2FA67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4E3305"/>
    <w:multiLevelType w:val="hybridMultilevel"/>
    <w:tmpl w:val="4C56EBFC"/>
    <w:lvl w:ilvl="0" w:tplc="3AC05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8D66DCE"/>
    <w:multiLevelType w:val="hybridMultilevel"/>
    <w:tmpl w:val="C1A2E7F6"/>
    <w:lvl w:ilvl="0" w:tplc="49CA2E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11"/>
  </w:num>
  <w:num w:numId="10">
    <w:abstractNumId w:val="16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12"/>
  </w:num>
  <w:num w:numId="16">
    <w:abstractNumId w:val="9"/>
  </w:num>
  <w:num w:numId="17">
    <w:abstractNumId w:val="20"/>
  </w:num>
  <w:num w:numId="18">
    <w:abstractNumId w:val="18"/>
  </w:num>
  <w:num w:numId="19">
    <w:abstractNumId w:val="14"/>
  </w:num>
  <w:num w:numId="20">
    <w:abstractNumId w:val="21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27"/>
    <w:rsid w:val="00002CD7"/>
    <w:rsid w:val="00012DDB"/>
    <w:rsid w:val="00022227"/>
    <w:rsid w:val="00027D42"/>
    <w:rsid w:val="00032801"/>
    <w:rsid w:val="0003475C"/>
    <w:rsid w:val="0004349B"/>
    <w:rsid w:val="00060EB9"/>
    <w:rsid w:val="00081154"/>
    <w:rsid w:val="000A7C17"/>
    <w:rsid w:val="000B13DD"/>
    <w:rsid w:val="000D521F"/>
    <w:rsid w:val="000E7838"/>
    <w:rsid w:val="000F19CB"/>
    <w:rsid w:val="000F42B4"/>
    <w:rsid w:val="00102621"/>
    <w:rsid w:val="00115ED9"/>
    <w:rsid w:val="00123C5D"/>
    <w:rsid w:val="00131BCA"/>
    <w:rsid w:val="00143257"/>
    <w:rsid w:val="00145B7F"/>
    <w:rsid w:val="00157CE1"/>
    <w:rsid w:val="001927D3"/>
    <w:rsid w:val="00194C51"/>
    <w:rsid w:val="00197433"/>
    <w:rsid w:val="001A0233"/>
    <w:rsid w:val="001A298F"/>
    <w:rsid w:val="001C7BA7"/>
    <w:rsid w:val="00222DD5"/>
    <w:rsid w:val="002430B1"/>
    <w:rsid w:val="00245B1D"/>
    <w:rsid w:val="00252278"/>
    <w:rsid w:val="00252EAE"/>
    <w:rsid w:val="00256832"/>
    <w:rsid w:val="00260171"/>
    <w:rsid w:val="0029723E"/>
    <w:rsid w:val="002A53B6"/>
    <w:rsid w:val="002B3BFB"/>
    <w:rsid w:val="002B45C7"/>
    <w:rsid w:val="002D7E08"/>
    <w:rsid w:val="002E284E"/>
    <w:rsid w:val="00322A33"/>
    <w:rsid w:val="00330F4A"/>
    <w:rsid w:val="00337DE4"/>
    <w:rsid w:val="003412D1"/>
    <w:rsid w:val="0034442F"/>
    <w:rsid w:val="00356C8B"/>
    <w:rsid w:val="00362104"/>
    <w:rsid w:val="00372DD4"/>
    <w:rsid w:val="003958BF"/>
    <w:rsid w:val="003A3D05"/>
    <w:rsid w:val="003B7C0A"/>
    <w:rsid w:val="003E3726"/>
    <w:rsid w:val="00420345"/>
    <w:rsid w:val="00443CCA"/>
    <w:rsid w:val="00450A85"/>
    <w:rsid w:val="00461660"/>
    <w:rsid w:val="0046627B"/>
    <w:rsid w:val="004722B6"/>
    <w:rsid w:val="004859C9"/>
    <w:rsid w:val="004A67E2"/>
    <w:rsid w:val="004B418D"/>
    <w:rsid w:val="004C6C8E"/>
    <w:rsid w:val="004E27EB"/>
    <w:rsid w:val="004E50BA"/>
    <w:rsid w:val="004F673B"/>
    <w:rsid w:val="00512CC6"/>
    <w:rsid w:val="00514F62"/>
    <w:rsid w:val="0051567E"/>
    <w:rsid w:val="0052520C"/>
    <w:rsid w:val="005313D6"/>
    <w:rsid w:val="00533516"/>
    <w:rsid w:val="00540AEF"/>
    <w:rsid w:val="00564AB0"/>
    <w:rsid w:val="00581D65"/>
    <w:rsid w:val="00593083"/>
    <w:rsid w:val="005A401B"/>
    <w:rsid w:val="005B3089"/>
    <w:rsid w:val="005B6983"/>
    <w:rsid w:val="005C070E"/>
    <w:rsid w:val="005D152D"/>
    <w:rsid w:val="005D2FE4"/>
    <w:rsid w:val="005F27C1"/>
    <w:rsid w:val="0061247D"/>
    <w:rsid w:val="006313C5"/>
    <w:rsid w:val="006367FD"/>
    <w:rsid w:val="006454E4"/>
    <w:rsid w:val="0064613F"/>
    <w:rsid w:val="00651C1B"/>
    <w:rsid w:val="00686711"/>
    <w:rsid w:val="006A233E"/>
    <w:rsid w:val="006B41D4"/>
    <w:rsid w:val="006B5B62"/>
    <w:rsid w:val="006F2709"/>
    <w:rsid w:val="007031F2"/>
    <w:rsid w:val="00706447"/>
    <w:rsid w:val="00715195"/>
    <w:rsid w:val="0074053F"/>
    <w:rsid w:val="007512AA"/>
    <w:rsid w:val="00754965"/>
    <w:rsid w:val="00770D96"/>
    <w:rsid w:val="007768BC"/>
    <w:rsid w:val="007827F0"/>
    <w:rsid w:val="0078311E"/>
    <w:rsid w:val="007A5A3A"/>
    <w:rsid w:val="007C0661"/>
    <w:rsid w:val="007F0606"/>
    <w:rsid w:val="007F296E"/>
    <w:rsid w:val="00803CEF"/>
    <w:rsid w:val="00805F9B"/>
    <w:rsid w:val="00851690"/>
    <w:rsid w:val="00864CDB"/>
    <w:rsid w:val="0086561A"/>
    <w:rsid w:val="0086652A"/>
    <w:rsid w:val="00873450"/>
    <w:rsid w:val="008750B9"/>
    <w:rsid w:val="0089082C"/>
    <w:rsid w:val="008A4860"/>
    <w:rsid w:val="008A5623"/>
    <w:rsid w:val="008D41D6"/>
    <w:rsid w:val="008E501D"/>
    <w:rsid w:val="008F4D3F"/>
    <w:rsid w:val="008F7329"/>
    <w:rsid w:val="00911B31"/>
    <w:rsid w:val="0091396E"/>
    <w:rsid w:val="00915FD5"/>
    <w:rsid w:val="00955632"/>
    <w:rsid w:val="0096637D"/>
    <w:rsid w:val="009907A2"/>
    <w:rsid w:val="009A4292"/>
    <w:rsid w:val="009C2252"/>
    <w:rsid w:val="009D3B79"/>
    <w:rsid w:val="009D7A4B"/>
    <w:rsid w:val="00A05E35"/>
    <w:rsid w:val="00A10BE7"/>
    <w:rsid w:val="00A2716D"/>
    <w:rsid w:val="00A3333A"/>
    <w:rsid w:val="00A33BE6"/>
    <w:rsid w:val="00A43E19"/>
    <w:rsid w:val="00A5138E"/>
    <w:rsid w:val="00A56CE0"/>
    <w:rsid w:val="00A85FAF"/>
    <w:rsid w:val="00A93C1D"/>
    <w:rsid w:val="00AB3434"/>
    <w:rsid w:val="00B03984"/>
    <w:rsid w:val="00B04A4F"/>
    <w:rsid w:val="00B04F15"/>
    <w:rsid w:val="00B06301"/>
    <w:rsid w:val="00B12A51"/>
    <w:rsid w:val="00B348DA"/>
    <w:rsid w:val="00B36584"/>
    <w:rsid w:val="00B64489"/>
    <w:rsid w:val="00B655AB"/>
    <w:rsid w:val="00B726B7"/>
    <w:rsid w:val="00B72E30"/>
    <w:rsid w:val="00BA4F57"/>
    <w:rsid w:val="00BA5601"/>
    <w:rsid w:val="00BB4967"/>
    <w:rsid w:val="00BC39CB"/>
    <w:rsid w:val="00BF52DB"/>
    <w:rsid w:val="00BF7486"/>
    <w:rsid w:val="00C209BF"/>
    <w:rsid w:val="00C276DE"/>
    <w:rsid w:val="00C55A4D"/>
    <w:rsid w:val="00C72E5C"/>
    <w:rsid w:val="00CA2E86"/>
    <w:rsid w:val="00CA605F"/>
    <w:rsid w:val="00CD73E5"/>
    <w:rsid w:val="00D02395"/>
    <w:rsid w:val="00D151C1"/>
    <w:rsid w:val="00D20C39"/>
    <w:rsid w:val="00D31328"/>
    <w:rsid w:val="00D34D2F"/>
    <w:rsid w:val="00D47876"/>
    <w:rsid w:val="00D541A2"/>
    <w:rsid w:val="00D73517"/>
    <w:rsid w:val="00D86FC4"/>
    <w:rsid w:val="00DA2D22"/>
    <w:rsid w:val="00DC0AC3"/>
    <w:rsid w:val="00DE40CF"/>
    <w:rsid w:val="00DF29F6"/>
    <w:rsid w:val="00E153C1"/>
    <w:rsid w:val="00E308F6"/>
    <w:rsid w:val="00E4440F"/>
    <w:rsid w:val="00E8152B"/>
    <w:rsid w:val="00E82370"/>
    <w:rsid w:val="00E83756"/>
    <w:rsid w:val="00EB038D"/>
    <w:rsid w:val="00EB10DC"/>
    <w:rsid w:val="00EC7AC7"/>
    <w:rsid w:val="00ED1628"/>
    <w:rsid w:val="00ED3F08"/>
    <w:rsid w:val="00EF4196"/>
    <w:rsid w:val="00EF7DD5"/>
    <w:rsid w:val="00F13A91"/>
    <w:rsid w:val="00F419D3"/>
    <w:rsid w:val="00F44C42"/>
    <w:rsid w:val="00F50175"/>
    <w:rsid w:val="00F658FE"/>
    <w:rsid w:val="00F705FD"/>
    <w:rsid w:val="00FB63C8"/>
    <w:rsid w:val="00FD0E50"/>
    <w:rsid w:val="00FD13CB"/>
    <w:rsid w:val="00F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791480"/>
  <w15:chartTrackingRefBased/>
  <w15:docId w15:val="{ADB71EA2-6CC0-44B1-AEA0-38F4F241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512CC6"/>
    <w:pPr>
      <w:keepNext/>
      <w:widowControl/>
      <w:spacing w:before="240" w:after="60"/>
      <w:outlineLvl w:val="0"/>
    </w:pPr>
    <w:rPr>
      <w:rFonts w:ascii="Cambria" w:eastAsia="新細明體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  <w:style w:type="table" w:customStyle="1" w:styleId="11">
    <w:name w:val="表格格線1"/>
    <w:basedOn w:val="a1"/>
    <w:next w:val="aa"/>
    <w:uiPriority w:val="39"/>
    <w:rsid w:val="00A33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A33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a"/>
    <w:uiPriority w:val="39"/>
    <w:rsid w:val="00C20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rsid w:val="00512CC6"/>
    <w:rPr>
      <w:rFonts w:ascii="Cambria" w:eastAsia="新細明體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95F23-75BF-43A7-BB43-BFA6DD2FF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黃秋烈</cp:lastModifiedBy>
  <cp:revision>7</cp:revision>
  <cp:lastPrinted>2023-12-19T08:59:00Z</cp:lastPrinted>
  <dcterms:created xsi:type="dcterms:W3CDTF">2023-12-18T02:08:00Z</dcterms:created>
  <dcterms:modified xsi:type="dcterms:W3CDTF">2023-12-21T05:53:00Z</dcterms:modified>
</cp:coreProperties>
</file>