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30B01AF8" w14:textId="10CECAB9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 w:rsidRPr="00E4440F">
        <w:rPr>
          <w:rFonts w:ascii="標楷體" w:eastAsia="標楷體" w:hAnsi="標楷體" w:hint="eastAsia"/>
          <w:b/>
          <w:sz w:val="48"/>
          <w:szCs w:val="48"/>
        </w:rPr>
        <w:t>年「</w:t>
      </w:r>
      <w:r w:rsidR="00E82370">
        <w:rPr>
          <w:rFonts w:ascii="標楷體" w:eastAsia="標楷體" w:hAnsi="標楷體" w:hint="eastAsia"/>
          <w:b/>
          <w:sz w:val="48"/>
          <w:szCs w:val="48"/>
        </w:rPr>
        <w:t>本會</w:t>
      </w:r>
      <w:r w:rsidRPr="00E4440F">
        <w:rPr>
          <w:rFonts w:ascii="標楷體" w:eastAsia="標楷體" w:hAnsi="標楷體" w:hint="eastAsia"/>
          <w:b/>
          <w:sz w:val="48"/>
          <w:szCs w:val="48"/>
        </w:rPr>
        <w:t>服務</w:t>
      </w:r>
      <w:r w:rsidR="006B41D4">
        <w:rPr>
          <w:rFonts w:ascii="標楷體" w:eastAsia="標楷體" w:hAnsi="標楷體" w:hint="eastAsia"/>
          <w:b/>
          <w:sz w:val="48"/>
          <w:szCs w:val="48"/>
        </w:rPr>
        <w:t>識別</w:t>
      </w:r>
      <w:r w:rsidRPr="00E4440F">
        <w:rPr>
          <w:rFonts w:ascii="標楷體" w:eastAsia="標楷體" w:hAnsi="標楷體" w:hint="eastAsia"/>
          <w:b/>
          <w:sz w:val="48"/>
          <w:szCs w:val="48"/>
        </w:rPr>
        <w:t>背心」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21C8F369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85E1A0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112811" w14:textId="5936D5D9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6E81C9C6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13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CD0AF1">
        <w:rPr>
          <w:rFonts w:ascii="標楷體" w:eastAsia="標楷體" w:hAnsi="標楷體" w:hint="eastAsia"/>
          <w:b/>
          <w:sz w:val="48"/>
          <w:szCs w:val="48"/>
        </w:rPr>
        <w:t>7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2B3BFB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5461E132" w14:textId="4C61BFA5" w:rsidR="00B04A4F" w:rsidRPr="002B3BFB" w:rsidRDefault="00CD0AF1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>
        <w:rPr>
          <w:rFonts w:ascii="標楷體" w:eastAsia="標楷體" w:hAnsi="標楷體" w:hint="eastAsia"/>
          <w:b/>
          <w:sz w:val="44"/>
          <w:szCs w:val="44"/>
        </w:rPr>
        <w:t>113</w:t>
      </w:r>
      <w:r w:rsidR="00B04A4F" w:rsidRPr="002B3BFB">
        <w:rPr>
          <w:rFonts w:ascii="標楷體" w:eastAsia="標楷體" w:hAnsi="標楷體" w:hint="eastAsia"/>
          <w:b/>
          <w:sz w:val="44"/>
          <w:szCs w:val="44"/>
        </w:rPr>
        <w:t>年「</w:t>
      </w:r>
      <w:r w:rsidR="00E82370">
        <w:rPr>
          <w:rFonts w:ascii="標楷體" w:eastAsia="標楷體" w:hAnsi="標楷體" w:hint="eastAsia"/>
          <w:b/>
          <w:sz w:val="44"/>
          <w:szCs w:val="44"/>
        </w:rPr>
        <w:t>本會</w:t>
      </w:r>
      <w:r w:rsidR="00B04A4F" w:rsidRPr="002B3BFB">
        <w:rPr>
          <w:rFonts w:ascii="標楷體" w:eastAsia="標楷體" w:hAnsi="標楷體" w:hint="eastAsia"/>
          <w:b/>
          <w:sz w:val="44"/>
          <w:szCs w:val="44"/>
        </w:rPr>
        <w:t>服務</w:t>
      </w:r>
      <w:r w:rsidR="006B41D4">
        <w:rPr>
          <w:rFonts w:ascii="標楷體" w:eastAsia="標楷體" w:hAnsi="標楷體" w:hint="eastAsia"/>
          <w:b/>
          <w:sz w:val="48"/>
          <w:szCs w:val="48"/>
        </w:rPr>
        <w:t>識別</w:t>
      </w:r>
      <w:r w:rsidR="00B04A4F" w:rsidRPr="002B3BFB">
        <w:rPr>
          <w:rFonts w:ascii="標楷體" w:eastAsia="標楷體" w:hAnsi="標楷體" w:hint="eastAsia"/>
          <w:b/>
          <w:sz w:val="44"/>
          <w:szCs w:val="44"/>
        </w:rPr>
        <w:t>背心」</w:t>
      </w:r>
      <w:r w:rsidR="002D7E08">
        <w:rPr>
          <w:rFonts w:ascii="標楷體" w:eastAsia="標楷體" w:hAnsi="標楷體" w:hint="eastAsia"/>
          <w:b/>
          <w:sz w:val="44"/>
          <w:szCs w:val="44"/>
        </w:rPr>
        <w:t>採購案</w:t>
      </w:r>
    </w:p>
    <w:p w14:paraId="3A662C9D" w14:textId="231890D8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2B3BFB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7325D7BC" w14:textId="13195F0E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緣起</w:t>
      </w:r>
    </w:p>
    <w:p w14:paraId="528BE49F" w14:textId="77777777" w:rsidR="00E83FD7" w:rsidRDefault="008750B9" w:rsidP="002B3BFB">
      <w:pPr>
        <w:snapToGrid w:val="0"/>
        <w:spacing w:beforeLines="50" w:before="180" w:afterLines="50" w:after="180" w:line="360" w:lineRule="auto"/>
        <w:ind w:leftChars="59" w:left="142"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本會於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88年成立，並於全台各地檢設置22個分會，</w:t>
      </w:r>
      <w:r w:rsidR="000D521F" w:rsidRPr="00E4440F">
        <w:rPr>
          <w:rFonts w:ascii="標楷體" w:eastAsia="標楷體" w:hAnsi="標楷體" w:hint="eastAsia"/>
          <w:sz w:val="28"/>
          <w:szCs w:val="28"/>
        </w:rPr>
        <w:t>為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使</w:t>
      </w:r>
      <w:r w:rsidR="000D521F" w:rsidRPr="00E4440F">
        <w:rPr>
          <w:rFonts w:ascii="標楷體" w:eastAsia="標楷體" w:hAnsi="標楷體" w:hint="eastAsia"/>
          <w:sz w:val="28"/>
          <w:szCs w:val="28"/>
        </w:rPr>
        <w:t>本會及所屬各分會工作人員、分會委員會及保護志工於訪視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、</w:t>
      </w:r>
      <w:r w:rsidR="000D521F" w:rsidRPr="00E4440F">
        <w:rPr>
          <w:rFonts w:ascii="標楷體" w:eastAsia="標楷體" w:hAnsi="標楷體" w:hint="eastAsia"/>
          <w:sz w:val="28"/>
          <w:szCs w:val="28"/>
        </w:rPr>
        <w:t>社會矚目案件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之現場支持</w:t>
      </w:r>
      <w:r w:rsidR="000D521F" w:rsidRPr="00E4440F">
        <w:rPr>
          <w:rFonts w:ascii="標楷體" w:eastAsia="標楷體" w:hAnsi="標楷體" w:hint="eastAsia"/>
          <w:sz w:val="28"/>
          <w:szCs w:val="28"/>
        </w:rPr>
        <w:t>及全國性會議、活動時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能有更高的</w:t>
      </w:r>
      <w:r w:rsidR="009D7A4B" w:rsidRPr="002B3BFB">
        <w:rPr>
          <w:rFonts w:ascii="標楷體" w:eastAsia="標楷體" w:hAnsi="標楷體" w:hint="eastAsia"/>
          <w:sz w:val="28"/>
          <w:szCs w:val="28"/>
        </w:rPr>
        <w:t>辨識度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，並加強本會專業</w:t>
      </w:r>
      <w:r w:rsidR="009D7A4B" w:rsidRPr="002B3BFB">
        <w:rPr>
          <w:rFonts w:ascii="標楷體" w:eastAsia="標楷體" w:hAnsi="標楷體" w:hint="eastAsia"/>
          <w:sz w:val="28"/>
          <w:szCs w:val="28"/>
        </w:rPr>
        <w:t>團隊形象</w:t>
      </w:r>
      <w:r w:rsidR="009D7A4B" w:rsidRPr="00E4440F">
        <w:rPr>
          <w:rFonts w:ascii="標楷體" w:eastAsia="標楷體" w:hAnsi="標楷體" w:hint="eastAsia"/>
          <w:sz w:val="28"/>
          <w:szCs w:val="28"/>
        </w:rPr>
        <w:t>、統一整體秩序，</w:t>
      </w:r>
      <w:r w:rsidR="00E4440F" w:rsidRPr="00E4440F">
        <w:rPr>
          <w:rFonts w:ascii="標楷體" w:eastAsia="標楷體" w:hAnsi="標楷體" w:hint="eastAsia"/>
          <w:sz w:val="28"/>
          <w:szCs w:val="28"/>
        </w:rPr>
        <w:t>增進社會大眾對於本會的了解，讓本會人員能順利進行協會核心任務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（以下稱</w:t>
      </w:r>
      <w:r w:rsidR="006B41D4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背心）</w:t>
      </w:r>
      <w:r w:rsidR="00E83FD7">
        <w:rPr>
          <w:rFonts w:ascii="標楷體" w:eastAsia="標楷體" w:hAnsi="標楷體" w:hint="eastAsia"/>
          <w:sz w:val="28"/>
          <w:szCs w:val="28"/>
        </w:rPr>
        <w:t>。</w:t>
      </w:r>
      <w:r w:rsidR="00CD0AF1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CD0AF1" w:rsidRPr="00E4440F">
        <w:rPr>
          <w:rFonts w:ascii="標楷體" w:eastAsia="標楷體" w:hAnsi="標楷體" w:hint="eastAsia"/>
          <w:sz w:val="28"/>
          <w:szCs w:val="28"/>
        </w:rPr>
        <w:t>背心</w:t>
      </w:r>
      <w:r w:rsidR="00CD0AF1">
        <w:rPr>
          <w:rFonts w:ascii="標楷體" w:eastAsia="標楷體" w:hAnsi="標楷體" w:hint="eastAsia"/>
          <w:sz w:val="28"/>
          <w:szCs w:val="28"/>
        </w:rPr>
        <w:t>於109年統一設計</w:t>
      </w:r>
      <w:r w:rsidR="00884A50">
        <w:rPr>
          <w:rFonts w:ascii="標楷體" w:eastAsia="標楷體" w:hAnsi="標楷體" w:hint="eastAsia"/>
          <w:sz w:val="28"/>
          <w:szCs w:val="28"/>
        </w:rPr>
        <w:t>製作，經由本會暨所屬各分會於各式活動與社會矚目案件穿著露出，已建立本會鮮明的對外形象。</w:t>
      </w:r>
    </w:p>
    <w:p w14:paraId="2E17B755" w14:textId="7E57ACFD" w:rsidR="00CD0AF1" w:rsidRPr="00E4440F" w:rsidRDefault="00E83FD7" w:rsidP="002B3BFB">
      <w:pPr>
        <w:snapToGrid w:val="0"/>
        <w:spacing w:beforeLines="50" w:before="180" w:afterLines="50" w:after="180" w:line="360" w:lineRule="auto"/>
        <w:ind w:leftChars="59" w:left="142"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E83FD7">
        <w:rPr>
          <w:rFonts w:ascii="標楷體" w:eastAsia="標楷體" w:hAnsi="標楷體"/>
          <w:sz w:val="28"/>
          <w:szCs w:val="28"/>
        </w:rPr>
        <w:t>新修正的犯罪被害人權益保障法</w:t>
      </w:r>
      <w:r w:rsidR="00AC3A30">
        <w:rPr>
          <w:rFonts w:ascii="標楷體" w:eastAsia="標楷體" w:hAnsi="標楷體" w:hint="eastAsia"/>
          <w:sz w:val="28"/>
          <w:szCs w:val="28"/>
        </w:rPr>
        <w:t>於</w:t>
      </w:r>
      <w:r w:rsidRPr="00E83FD7">
        <w:rPr>
          <w:rFonts w:ascii="標楷體" w:eastAsia="標楷體" w:hAnsi="標楷體"/>
          <w:sz w:val="28"/>
          <w:szCs w:val="28"/>
        </w:rPr>
        <w:t>去(112)年2月8日經總統公布，今(113)年1月1日已經全文施行，</w:t>
      </w:r>
      <w:r>
        <w:rPr>
          <w:rFonts w:ascii="標楷體" w:eastAsia="標楷體" w:hAnsi="標楷體" w:hint="eastAsia"/>
          <w:sz w:val="28"/>
          <w:szCs w:val="28"/>
        </w:rPr>
        <w:t>本會依新</w:t>
      </w:r>
      <w:r w:rsidR="00AC3A30">
        <w:rPr>
          <w:rFonts w:ascii="標楷體" w:eastAsia="標楷體" w:hAnsi="標楷體" w:hint="eastAsia"/>
          <w:sz w:val="28"/>
          <w:szCs w:val="28"/>
        </w:rPr>
        <w:t>法</w:t>
      </w:r>
      <w:r>
        <w:rPr>
          <w:rFonts w:ascii="標楷體" w:eastAsia="標楷體" w:hAnsi="標楷體" w:hint="eastAsia"/>
          <w:sz w:val="28"/>
          <w:szCs w:val="28"/>
        </w:rPr>
        <w:t>第六章規定，</w:t>
      </w:r>
      <w:r w:rsidR="00AC3A30">
        <w:rPr>
          <w:rFonts w:ascii="標楷體" w:eastAsia="標楷體" w:hAnsi="標楷體" w:hint="eastAsia"/>
          <w:sz w:val="28"/>
          <w:szCs w:val="28"/>
        </w:rPr>
        <w:t>除進行組織改革</w:t>
      </w:r>
      <w:r>
        <w:rPr>
          <w:rFonts w:ascii="標楷體" w:eastAsia="標楷體" w:hAnsi="標楷體" w:hint="eastAsia"/>
          <w:sz w:val="28"/>
          <w:szCs w:val="28"/>
        </w:rPr>
        <w:t>外並增加專任人員員額</w:t>
      </w:r>
      <w:r w:rsidR="00AC3A30">
        <w:rPr>
          <w:rFonts w:ascii="標楷體" w:eastAsia="標楷體" w:hAnsi="標楷體" w:hint="eastAsia"/>
          <w:sz w:val="28"/>
          <w:szCs w:val="28"/>
        </w:rPr>
        <w:t>以因應擴大服務項目，本會於</w:t>
      </w:r>
      <w:r>
        <w:rPr>
          <w:rFonts w:ascii="標楷體" w:eastAsia="標楷體" w:hAnsi="標楷體" w:hint="eastAsia"/>
          <w:sz w:val="28"/>
          <w:szCs w:val="28"/>
        </w:rPr>
        <w:t>109年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所製作的</w:t>
      </w:r>
      <w:r w:rsidR="00BB3788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BB3788" w:rsidRPr="00E4440F">
        <w:rPr>
          <w:rFonts w:ascii="標楷體" w:eastAsia="標楷體" w:hAnsi="標楷體" w:hint="eastAsia"/>
          <w:sz w:val="28"/>
          <w:szCs w:val="28"/>
        </w:rPr>
        <w:t>背心</w:t>
      </w:r>
      <w:r w:rsidR="00BB3788">
        <w:rPr>
          <w:rFonts w:ascii="標楷體" w:eastAsia="標楷體" w:hAnsi="標楷體" w:hint="eastAsia"/>
          <w:sz w:val="28"/>
          <w:szCs w:val="28"/>
        </w:rPr>
        <w:t>已不敷使用，需再行改購製作</w:t>
      </w:r>
      <w:r w:rsidR="00AC3A30">
        <w:rPr>
          <w:rFonts w:ascii="標楷體" w:eastAsia="標楷體" w:hAnsi="標楷體" w:hint="eastAsia"/>
          <w:sz w:val="28"/>
          <w:szCs w:val="28"/>
        </w:rPr>
        <w:t>。</w:t>
      </w:r>
      <w:r w:rsidR="00884A50">
        <w:rPr>
          <w:rFonts w:ascii="標楷體" w:eastAsia="標楷體" w:hAnsi="標楷體" w:hint="eastAsia"/>
          <w:sz w:val="28"/>
          <w:szCs w:val="28"/>
        </w:rPr>
        <w:t>惟，</w:t>
      </w:r>
      <w:r w:rsidR="00884A50" w:rsidRPr="00884A50">
        <w:rPr>
          <w:rFonts w:ascii="標楷體" w:eastAsia="標楷體" w:hAnsi="標楷體"/>
          <w:sz w:val="28"/>
          <w:szCs w:val="28"/>
        </w:rPr>
        <w:t>台灣屬於副熱帶(亞熱帶)</w:t>
      </w:r>
      <w:r w:rsidR="00AC3A30">
        <w:rPr>
          <w:rFonts w:ascii="標楷體" w:eastAsia="標楷體" w:hAnsi="標楷體"/>
          <w:sz w:val="28"/>
          <w:szCs w:val="28"/>
        </w:rPr>
        <w:t>氣候，其中北部為副熱帶季風氣候區</w:t>
      </w:r>
      <w:r w:rsidR="00AC3A30">
        <w:rPr>
          <w:rFonts w:ascii="標楷體" w:eastAsia="標楷體" w:hAnsi="標楷體" w:hint="eastAsia"/>
          <w:sz w:val="28"/>
          <w:szCs w:val="28"/>
        </w:rPr>
        <w:t>、</w:t>
      </w:r>
      <w:r w:rsidR="00884A50" w:rsidRPr="00884A50">
        <w:rPr>
          <w:rFonts w:ascii="標楷體" w:eastAsia="標楷體" w:hAnsi="標楷體"/>
          <w:sz w:val="28"/>
          <w:szCs w:val="28"/>
        </w:rPr>
        <w:t>南部為熱帶季風氣候區</w:t>
      </w:r>
      <w:r w:rsidR="00A1391D">
        <w:rPr>
          <w:rFonts w:ascii="標楷體" w:eastAsia="標楷體" w:hAnsi="標楷體" w:hint="eastAsia"/>
          <w:sz w:val="28"/>
          <w:szCs w:val="28"/>
        </w:rPr>
        <w:t>，氣溫普遍偏高</w:t>
      </w:r>
      <w:r w:rsidR="00884A50">
        <w:rPr>
          <w:rFonts w:ascii="標楷體" w:eastAsia="標楷體" w:hAnsi="標楷體" w:hint="eastAsia"/>
          <w:sz w:val="28"/>
          <w:szCs w:val="28"/>
        </w:rPr>
        <w:t>，</w:t>
      </w:r>
      <w:r w:rsidR="000860F9">
        <w:rPr>
          <w:rFonts w:ascii="標楷體" w:eastAsia="標楷體" w:hAnsi="標楷體" w:hint="eastAsia"/>
          <w:sz w:val="28"/>
          <w:szCs w:val="28"/>
        </w:rPr>
        <w:t>非冬季時穿著識別背心</w:t>
      </w:r>
      <w:r w:rsidR="00506A7D">
        <w:rPr>
          <w:rFonts w:ascii="標楷體" w:eastAsia="標楷體" w:hAnsi="標楷體" w:hint="eastAsia"/>
          <w:sz w:val="28"/>
          <w:szCs w:val="28"/>
        </w:rPr>
        <w:t>將異常悶熱，為改善工作人員的穿著體驗，</w:t>
      </w:r>
      <w:r w:rsidR="00AC3A30">
        <w:rPr>
          <w:rFonts w:ascii="標楷體" w:eastAsia="標楷體" w:hAnsi="標楷體" w:hint="eastAsia"/>
          <w:sz w:val="28"/>
          <w:szCs w:val="28"/>
        </w:rPr>
        <w:t>本次採購除</w:t>
      </w:r>
      <w:r w:rsidR="00CA1ADA">
        <w:rPr>
          <w:rFonts w:ascii="標楷體" w:eastAsia="標楷體" w:hAnsi="標楷體" w:hint="eastAsia"/>
          <w:sz w:val="28"/>
          <w:szCs w:val="28"/>
        </w:rPr>
        <w:t>增購外並改量設計</w:t>
      </w:r>
      <w:r w:rsidR="00AC3A30">
        <w:rPr>
          <w:rFonts w:ascii="標楷體" w:eastAsia="標楷體" w:hAnsi="標楷體" w:hint="eastAsia"/>
          <w:sz w:val="28"/>
          <w:szCs w:val="28"/>
        </w:rPr>
        <w:t>與布料使用，以更符合使用需求。</w:t>
      </w:r>
    </w:p>
    <w:p w14:paraId="3E9D85E4" w14:textId="50D4F1AC" w:rsidR="00B04A4F" w:rsidRPr="00E4440F" w:rsidRDefault="00B04A4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履約內容</w:t>
      </w:r>
    </w:p>
    <w:p w14:paraId="2FC33D8B" w14:textId="198BEC19" w:rsidR="00B04A4F" w:rsidRPr="00E4440F" w:rsidRDefault="006B41D4" w:rsidP="006B41D4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背心製作款式說明如下：</w:t>
      </w:r>
    </w:p>
    <w:p w14:paraId="1745B46E" w14:textId="5BFD6AAB" w:rsidR="00BF52DB" w:rsidRPr="00E4440F" w:rsidRDefault="00BF52DB" w:rsidP="007768BC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AC3A30">
        <w:rPr>
          <w:rFonts w:ascii="標楷體" w:eastAsia="標楷體" w:hAnsi="標楷體" w:hint="eastAsia"/>
          <w:sz w:val="28"/>
          <w:szCs w:val="28"/>
        </w:rPr>
        <w:t>依本會109年採購之識別背心為基準進行改良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43CE4366" w14:textId="545C86C2" w:rsidR="00BF52DB" w:rsidRPr="00E4440F" w:rsidRDefault="00BF52DB" w:rsidP="00651C1B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2、材質：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透氣、排汗。</w:t>
      </w:r>
    </w:p>
    <w:p w14:paraId="2387B0D6" w14:textId="5D1A1657" w:rsidR="00BF52DB" w:rsidRPr="00E4440F" w:rsidRDefault="008A5623" w:rsidP="00651C1B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3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、件數：約</w:t>
      </w:r>
      <w:r w:rsidR="00AC3A30">
        <w:rPr>
          <w:rFonts w:ascii="標楷體" w:eastAsia="標楷體" w:hAnsi="標楷體" w:hint="eastAsia"/>
          <w:sz w:val="28"/>
          <w:szCs w:val="28"/>
        </w:rPr>
        <w:t>910</w:t>
      </w:r>
      <w:r w:rsidR="00BF52DB" w:rsidRPr="00E4440F">
        <w:rPr>
          <w:rFonts w:ascii="標楷體" w:eastAsia="標楷體" w:hAnsi="標楷體" w:hint="eastAsia"/>
          <w:sz w:val="28"/>
          <w:szCs w:val="28"/>
        </w:rPr>
        <w:t>件（</w:t>
      </w:r>
      <w:r w:rsidR="0064613F" w:rsidRPr="00E4440F">
        <w:rPr>
          <w:rFonts w:ascii="標楷體" w:eastAsia="標楷體" w:hAnsi="標楷體" w:hint="eastAsia"/>
          <w:sz w:val="28"/>
          <w:szCs w:val="28"/>
        </w:rPr>
        <w:t>至少提供3XL、2XL、XL、L、M、S</w:t>
      </w:r>
      <w:r w:rsidR="00AC3A30">
        <w:rPr>
          <w:rFonts w:ascii="標楷體" w:eastAsia="標楷體" w:hAnsi="標楷體" w:hint="eastAsia"/>
          <w:sz w:val="28"/>
          <w:szCs w:val="28"/>
        </w:rPr>
        <w:t>、XS</w:t>
      </w:r>
      <w:r w:rsidR="0064613F" w:rsidRPr="00E4440F">
        <w:rPr>
          <w:rFonts w:ascii="標楷體" w:eastAsia="標楷體" w:hAnsi="標楷體" w:hint="eastAsia"/>
          <w:sz w:val="28"/>
          <w:szCs w:val="28"/>
        </w:rPr>
        <w:t>等尺寸）。</w:t>
      </w:r>
    </w:p>
    <w:p w14:paraId="590B81C3" w14:textId="61A8D27F" w:rsidR="00BF52DB" w:rsidRPr="00E4440F" w:rsidRDefault="00BF52DB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二、投標廠商提供之企畫書內，應詳述之內容：</w:t>
      </w:r>
    </w:p>
    <w:p w14:paraId="24A0484D" w14:textId="7E714AD2" w:rsidR="00143257" w:rsidRDefault="00143257" w:rsidP="00143257">
      <w:pPr>
        <w:pStyle w:val="a7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E4440F">
        <w:rPr>
          <w:rFonts w:ascii="標楷體" w:eastAsia="標楷體" w:hAnsi="標楷體" w:hint="eastAsia"/>
          <w:sz w:val="28"/>
          <w:szCs w:val="28"/>
        </w:rPr>
        <w:t>1、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提供</w:t>
      </w:r>
      <w:r w:rsidRPr="00E4440F">
        <w:rPr>
          <w:rFonts w:ascii="標楷體" w:eastAsia="標楷體" w:hAnsi="標楷體" w:hint="eastAsia"/>
          <w:sz w:val="28"/>
          <w:szCs w:val="28"/>
        </w:rPr>
        <w:t>三款不同形式之</w:t>
      </w:r>
      <w:r w:rsidR="00067190">
        <w:rPr>
          <w:rFonts w:ascii="標楷體" w:eastAsia="標楷體" w:hAnsi="標楷體" w:hint="eastAsia"/>
          <w:sz w:val="28"/>
          <w:szCs w:val="28"/>
        </w:rPr>
        <w:t>改良</w:t>
      </w:r>
      <w:r w:rsidRPr="00E4440F">
        <w:rPr>
          <w:rFonts w:ascii="標楷體" w:eastAsia="標楷體" w:hAnsi="標楷體" w:hint="eastAsia"/>
          <w:sz w:val="28"/>
          <w:szCs w:val="28"/>
        </w:rPr>
        <w:t>設計。</w:t>
      </w:r>
    </w:p>
    <w:p w14:paraId="39B4A6F5" w14:textId="1E9DC469" w:rsidR="008A5623" w:rsidRPr="008A5623" w:rsidRDefault="008A5623" w:rsidP="008A5623">
      <w:pPr>
        <w:pStyle w:val="a7"/>
        <w:ind w:leftChars="296" w:left="85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Pr="00E4440F">
        <w:rPr>
          <w:rFonts w:ascii="標楷體" w:eastAsia="標楷體" w:hAnsi="標楷體" w:hint="eastAsia"/>
          <w:sz w:val="28"/>
          <w:szCs w:val="28"/>
        </w:rPr>
        <w:t>、說明材質</w:t>
      </w:r>
      <w:r w:rsidR="00067190">
        <w:rPr>
          <w:rFonts w:ascii="標楷體" w:eastAsia="標楷體" w:hAnsi="標楷體" w:hint="eastAsia"/>
          <w:sz w:val="28"/>
          <w:szCs w:val="28"/>
        </w:rPr>
        <w:t>與抗熱、吸濕排汗功能</w:t>
      </w:r>
      <w:r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6AD29D09" w14:textId="2863740F" w:rsidR="00143257" w:rsidRPr="00E4440F" w:rsidRDefault="00EF4196" w:rsidP="00143257">
      <w:pPr>
        <w:pStyle w:val="a7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、廠商履約能力：廠商承攬機關或公司行號相關實績。</w:t>
      </w:r>
    </w:p>
    <w:p w14:paraId="4D7A4995" w14:textId="587D7A29" w:rsidR="00B04A4F" w:rsidRPr="00E4440F" w:rsidRDefault="00EF4196" w:rsidP="003B3EB4">
      <w:pPr>
        <w:pStyle w:val="a7"/>
        <w:ind w:leftChars="296" w:left="1133" w:hangingChars="151" w:hanging="42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、報價單：不限格式，惟應註明其所提供規格樣式，並蓋有投標廠商及負責人印章，報價幣為新臺幣（應含稅）</w:t>
      </w:r>
      <w:r w:rsidR="00A3333A" w:rsidRPr="00E4440F">
        <w:rPr>
          <w:rFonts w:ascii="標楷體" w:eastAsia="標楷體" w:hAnsi="標楷體" w:hint="eastAsia"/>
          <w:sz w:val="28"/>
          <w:szCs w:val="28"/>
        </w:rPr>
        <w:t>，而報價之總額不得逾本會預算金額</w:t>
      </w:r>
      <w:r w:rsidR="00143257" w:rsidRPr="00E4440F">
        <w:rPr>
          <w:rFonts w:ascii="標楷體" w:eastAsia="標楷體" w:hAnsi="標楷體" w:hint="eastAsia"/>
          <w:sz w:val="28"/>
          <w:szCs w:val="28"/>
        </w:rPr>
        <w:t>。</w:t>
      </w:r>
    </w:p>
    <w:p w14:paraId="55237CDF" w14:textId="79B921F4" w:rsidR="00B04A4F" w:rsidRPr="00E4440F" w:rsidRDefault="00A3333A" w:rsidP="00A3333A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履約期程注意事項</w:t>
      </w:r>
      <w:r w:rsidR="000D521F" w:rsidRPr="00E4440F">
        <w:rPr>
          <w:rFonts w:ascii="標楷體" w:eastAsia="標楷體" w:hAnsi="標楷體" w:hint="eastAsia"/>
          <w:b/>
          <w:sz w:val="28"/>
          <w:szCs w:val="28"/>
        </w:rPr>
        <w:t>（交貨驗收）</w:t>
      </w:r>
    </w:p>
    <w:p w14:paraId="566BDDF9" w14:textId="20AACCC5" w:rsidR="000D521F" w:rsidRPr="00E4440F" w:rsidRDefault="00E4440F" w:rsidP="00E4440F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、廠商應於本會通知後</w:t>
      </w:r>
      <w:r w:rsidR="00067190">
        <w:rPr>
          <w:rFonts w:ascii="標楷體" w:eastAsia="標楷體" w:hAnsi="標楷體" w:hint="eastAsia"/>
          <w:sz w:val="28"/>
          <w:szCs w:val="28"/>
        </w:rPr>
        <w:t>14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日（日曆天）提供採購標</w:t>
      </w:r>
      <w:r w:rsidR="00B12A51">
        <w:rPr>
          <w:rFonts w:ascii="標楷體" w:eastAsia="標楷體" w:hAnsi="標楷體" w:hint="eastAsia"/>
          <w:sz w:val="28"/>
          <w:szCs w:val="28"/>
        </w:rPr>
        <w:t>的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之樣品。</w:t>
      </w:r>
    </w:p>
    <w:p w14:paraId="5B30C2B1" w14:textId="72468D93" w:rsidR="00911B31" w:rsidRDefault="00E4440F" w:rsidP="003B3EB4">
      <w:pPr>
        <w:pStyle w:val="a7"/>
        <w:ind w:leftChars="177" w:left="991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、廠商提供樣品經本處確認後</w:t>
      </w:r>
      <w:r w:rsidR="00CF5C5A">
        <w:rPr>
          <w:rFonts w:ascii="標楷體" w:eastAsia="標楷體" w:hAnsi="標楷體" w:hint="eastAsia"/>
          <w:sz w:val="28"/>
          <w:szCs w:val="28"/>
        </w:rPr>
        <w:t>，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於</w:t>
      </w:r>
      <w:r w:rsidR="00CF5C5A">
        <w:rPr>
          <w:rFonts w:ascii="標楷體" w:eastAsia="標楷體" w:hAnsi="標楷體" w:hint="eastAsia"/>
          <w:sz w:val="28"/>
          <w:szCs w:val="28"/>
        </w:rPr>
        <w:t>決標後60日（工作</w:t>
      </w:r>
      <w:r w:rsidR="00CF5C5A" w:rsidRPr="00E4440F">
        <w:rPr>
          <w:rFonts w:ascii="標楷體" w:eastAsia="標楷體" w:hAnsi="標楷體" w:hint="eastAsia"/>
          <w:sz w:val="28"/>
          <w:szCs w:val="28"/>
        </w:rPr>
        <w:t>天）</w:t>
      </w:r>
      <w:r w:rsidR="00CF5C5A">
        <w:rPr>
          <w:rFonts w:ascii="標楷體" w:eastAsia="標楷體" w:hAnsi="標楷體" w:hint="eastAsia"/>
          <w:sz w:val="28"/>
          <w:szCs w:val="28"/>
        </w:rPr>
        <w:t>內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完成總數之交貨驗收。</w:t>
      </w:r>
    </w:p>
    <w:p w14:paraId="2DE71E66" w14:textId="38FD4756" w:rsidR="00330F4A" w:rsidRPr="00E4440F" w:rsidRDefault="00330F4A" w:rsidP="00E4440F">
      <w:pPr>
        <w:pStyle w:val="a7"/>
        <w:ind w:leftChars="177" w:left="565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三、交貨地點：本會及所屬分會。</w:t>
      </w:r>
    </w:p>
    <w:p w14:paraId="7D748351" w14:textId="32A0B997" w:rsidR="000D521F" w:rsidRPr="00E4440F" w:rsidRDefault="00330F4A" w:rsidP="00E4440F">
      <w:pPr>
        <w:ind w:left="42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11B31" w:rsidRPr="00E4440F">
        <w:rPr>
          <w:rFonts w:ascii="標楷體" w:eastAsia="標楷體" w:hAnsi="標楷體" w:hint="eastAsia"/>
          <w:sz w:val="28"/>
          <w:szCs w:val="28"/>
        </w:rPr>
        <w:t>、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有關犯罪被害人保護協會</w:t>
      </w:r>
      <w:r w:rsidR="006B41D4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7768BC" w:rsidRPr="00E4440F">
        <w:rPr>
          <w:rFonts w:ascii="標楷體" w:eastAsia="標楷體" w:hAnsi="標楷體" w:hint="eastAsia"/>
          <w:sz w:val="28"/>
          <w:szCs w:val="28"/>
        </w:rPr>
        <w:t>背心設計之版權將歸屬本會所有。</w:t>
      </w:r>
    </w:p>
    <w:p w14:paraId="49D7F8E7" w14:textId="782E71A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付款方式</w:t>
      </w:r>
    </w:p>
    <w:p w14:paraId="301FE644" w14:textId="15EAE8B8" w:rsidR="000D521F" w:rsidRPr="00E4440F" w:rsidRDefault="00330F4A" w:rsidP="00651C1B">
      <w:pPr>
        <w:pStyle w:val="a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由本會依實際數量付款。</w:t>
      </w:r>
    </w:p>
    <w:p w14:paraId="28CBDE67" w14:textId="1020E67C" w:rsidR="000D521F" w:rsidRPr="00E4440F" w:rsidRDefault="000D521F" w:rsidP="00651C1B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4440F">
        <w:rPr>
          <w:rFonts w:ascii="標楷體" w:eastAsia="標楷體" w:hAnsi="標楷體" w:hint="eastAsia"/>
          <w:b/>
          <w:sz w:val="28"/>
          <w:szCs w:val="28"/>
        </w:rPr>
        <w:t>評審方式</w:t>
      </w:r>
      <w:r w:rsidR="00A1391D">
        <w:rPr>
          <w:rFonts w:ascii="標楷體" w:eastAsia="標楷體" w:hAnsi="標楷體" w:hint="eastAsia"/>
          <w:sz w:val="28"/>
          <w:szCs w:val="28"/>
        </w:rPr>
        <w:t>(建議)</w:t>
      </w:r>
    </w:p>
    <w:p w14:paraId="52FD42B2" w14:textId="77777777" w:rsidR="001A0233" w:rsidRPr="002B3BFB" w:rsidRDefault="001A0233" w:rsidP="001A0233">
      <w:pPr>
        <w:pStyle w:val="7"/>
        <w:spacing w:before="50" w:line="400" w:lineRule="exact"/>
        <w:ind w:left="720" w:firstLine="0"/>
        <w:jc w:val="both"/>
        <w:textDirection w:val="lrTbV"/>
        <w:rPr>
          <w:rFonts w:ascii="標楷體" w:eastAsia="標楷體" w:hAnsi="標楷體" w:cstheme="minorBidi"/>
          <w:spacing w:val="0"/>
          <w:kern w:val="2"/>
          <w:sz w:val="28"/>
          <w:szCs w:val="28"/>
        </w:rPr>
      </w:pPr>
      <w:r w:rsidRPr="002B3BFB">
        <w:rPr>
          <w:rFonts w:ascii="標楷體" w:eastAsia="標楷體" w:hAnsi="標楷體" w:cstheme="minorBidi" w:hint="eastAsia"/>
          <w:spacing w:val="0"/>
          <w:kern w:val="2"/>
          <w:sz w:val="28"/>
          <w:szCs w:val="28"/>
        </w:rPr>
        <w:t>本案評審方式將分成二階段：</w:t>
      </w:r>
    </w:p>
    <w:p w14:paraId="58F49269" w14:textId="321ED2F3" w:rsidR="001A0233" w:rsidRPr="001A0233" w:rsidRDefault="001A0233" w:rsidP="001A0233">
      <w:pPr>
        <w:ind w:left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t>一、第一階段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資格審查。</w:t>
      </w:r>
    </w:p>
    <w:p w14:paraId="39A1A7A0" w14:textId="0BC8AE30" w:rsidR="001A0233" w:rsidRPr="001A0233" w:rsidRDefault="001A0233" w:rsidP="004C04D8">
      <w:pPr>
        <w:ind w:leftChars="177" w:left="851" w:hangingChars="152" w:hanging="426"/>
        <w:jc w:val="both"/>
        <w:textDirection w:val="lrTbV"/>
        <w:rPr>
          <w:rFonts w:ascii="標楷體" w:eastAsia="標楷體" w:hAnsi="標楷體"/>
          <w:sz w:val="28"/>
          <w:szCs w:val="28"/>
        </w:rPr>
      </w:pPr>
      <w:r w:rsidRPr="001A0233">
        <w:rPr>
          <w:rFonts w:ascii="標楷體" w:eastAsia="標楷體" w:hAnsi="標楷體" w:hint="eastAsia"/>
          <w:sz w:val="28"/>
          <w:szCs w:val="28"/>
        </w:rPr>
        <w:lastRenderedPageBreak/>
        <w:t>二、第二階段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1A0233">
        <w:rPr>
          <w:rFonts w:ascii="標楷體" w:eastAsia="標楷體" w:hAnsi="標楷體" w:hint="eastAsia"/>
          <w:sz w:val="28"/>
          <w:szCs w:val="28"/>
        </w:rPr>
        <w:t>由本</w:t>
      </w:r>
      <w:r w:rsidR="00FD0E50">
        <w:rPr>
          <w:rFonts w:ascii="標楷體" w:eastAsia="標楷體" w:hAnsi="標楷體" w:hint="eastAsia"/>
          <w:sz w:val="28"/>
          <w:szCs w:val="28"/>
        </w:rPr>
        <w:t>會</w:t>
      </w:r>
      <w:r w:rsidRPr="001A0233">
        <w:rPr>
          <w:rFonts w:ascii="標楷體" w:eastAsia="標楷體" w:hAnsi="標楷體" w:hint="eastAsia"/>
          <w:sz w:val="28"/>
          <w:szCs w:val="28"/>
        </w:rPr>
        <w:t>成立評審小組以公開客觀之方式針對</w:t>
      </w:r>
      <w:r w:rsidR="006B41D4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2B3BFB">
        <w:rPr>
          <w:rFonts w:ascii="標楷體" w:eastAsia="標楷體" w:hAnsi="標楷體" w:hint="eastAsia"/>
          <w:sz w:val="28"/>
          <w:szCs w:val="28"/>
        </w:rPr>
        <w:t>背心</w:t>
      </w:r>
      <w:r w:rsidRPr="001A0233">
        <w:rPr>
          <w:rFonts w:ascii="標楷體" w:eastAsia="標楷體" w:hAnsi="標楷體" w:hint="eastAsia"/>
          <w:sz w:val="28"/>
          <w:szCs w:val="28"/>
        </w:rPr>
        <w:t>樣</w:t>
      </w:r>
      <w:r w:rsidR="00067190">
        <w:rPr>
          <w:rFonts w:ascii="標楷體" w:eastAsia="標楷體" w:hAnsi="標楷體" w:hint="eastAsia"/>
          <w:sz w:val="28"/>
          <w:szCs w:val="28"/>
        </w:rPr>
        <w:t>式</w:t>
      </w:r>
      <w:r w:rsidRPr="001A0233">
        <w:rPr>
          <w:rFonts w:ascii="標楷體" w:eastAsia="標楷體" w:hAnsi="標楷體" w:hint="eastAsia"/>
          <w:sz w:val="28"/>
          <w:szCs w:val="28"/>
        </w:rPr>
        <w:t>之事宜評選出優良廠商</w:t>
      </w:r>
      <w:r w:rsidR="002B3BFB">
        <w:rPr>
          <w:rFonts w:ascii="標楷體" w:eastAsia="標楷體" w:hAnsi="標楷體" w:hint="eastAsia"/>
          <w:sz w:val="28"/>
          <w:szCs w:val="28"/>
        </w:rPr>
        <w:t>，並將價格納入評比</w:t>
      </w:r>
      <w:r w:rsidRPr="001A0233">
        <w:rPr>
          <w:rFonts w:ascii="標楷體" w:eastAsia="標楷體" w:hAnsi="標楷體" w:hint="eastAsia"/>
          <w:sz w:val="28"/>
          <w:szCs w:val="28"/>
        </w:rPr>
        <w:t>。</w:t>
      </w:r>
    </w:p>
    <w:p w14:paraId="16C8F79D" w14:textId="26779F5E" w:rsidR="001A0233" w:rsidRPr="001A0233" w:rsidRDefault="002B3BFB" w:rsidP="00A1391D">
      <w:pPr>
        <w:ind w:leftChars="178" w:left="993" w:hangingChars="202" w:hanging="566"/>
        <w:jc w:val="both"/>
        <w:textDirection w:val="lrTbV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1A0233" w:rsidRPr="001A0233">
        <w:rPr>
          <w:rFonts w:ascii="標楷體" w:eastAsia="標楷體" w:hAnsi="標楷體" w:hint="eastAsia"/>
          <w:sz w:val="28"/>
          <w:szCs w:val="28"/>
        </w:rPr>
        <w:t>、廠商未依前項規定提供規格書及</w:t>
      </w:r>
      <w:r w:rsidR="00FD0E50" w:rsidRPr="006B41D4">
        <w:rPr>
          <w:rFonts w:ascii="標楷體" w:eastAsia="標楷體" w:hAnsi="標楷體" w:hint="eastAsia"/>
          <w:sz w:val="28"/>
          <w:szCs w:val="28"/>
        </w:rPr>
        <w:t>識別</w:t>
      </w:r>
      <w:r w:rsidR="00FD0E50" w:rsidRPr="00E4440F">
        <w:rPr>
          <w:rFonts w:ascii="標楷體" w:eastAsia="標楷體" w:hAnsi="標楷體" w:hint="eastAsia"/>
          <w:sz w:val="28"/>
          <w:szCs w:val="28"/>
        </w:rPr>
        <w:t>背心</w:t>
      </w:r>
      <w:r w:rsidR="001A0233" w:rsidRPr="001A0233">
        <w:rPr>
          <w:rFonts w:ascii="標楷體" w:eastAsia="標楷體" w:hAnsi="標楷體" w:hint="eastAsia"/>
          <w:sz w:val="28"/>
          <w:szCs w:val="28"/>
        </w:rPr>
        <w:t>實物樣品時視為不合格標。</w:t>
      </w:r>
    </w:p>
    <w:p w14:paraId="6C98ECFE" w14:textId="7035EBB1" w:rsidR="0064613F" w:rsidRPr="00F97AF6" w:rsidRDefault="002B3BFB" w:rsidP="002B3BFB">
      <w:pPr>
        <w:ind w:leftChars="177" w:left="425"/>
        <w:jc w:val="both"/>
        <w:rPr>
          <w:rFonts w:ascii="標楷體" w:eastAsia="標楷體" w:hAnsi="標楷體"/>
          <w:sz w:val="28"/>
          <w:szCs w:val="28"/>
        </w:rPr>
      </w:pPr>
      <w:r w:rsidRPr="00F97AF6">
        <w:rPr>
          <w:rFonts w:ascii="標楷體" w:eastAsia="標楷體" w:hAnsi="標楷體" w:hint="eastAsia"/>
          <w:sz w:val="28"/>
          <w:szCs w:val="28"/>
        </w:rPr>
        <w:t>四、評審項目標準及配分：</w:t>
      </w:r>
      <w:r w:rsidR="00A1391D">
        <w:rPr>
          <w:rFonts w:ascii="標楷體" w:eastAsia="標楷體" w:hAnsi="標楷體" w:hint="eastAsia"/>
          <w:sz w:val="28"/>
          <w:szCs w:val="28"/>
        </w:rPr>
        <w:t>(建議)</w:t>
      </w:r>
    </w:p>
    <w:tbl>
      <w:tblPr>
        <w:tblpPr w:leftFromText="180" w:rightFromText="180" w:vertAnchor="text" w:horzAnchor="margin" w:tblpXSpec="center" w:tblpY="42"/>
        <w:tblW w:w="74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5598"/>
        <w:gridCol w:w="992"/>
      </w:tblGrid>
      <w:tr w:rsidR="0064613F" w:rsidRPr="00E4440F" w14:paraId="3BC28576" w14:textId="77777777" w:rsidTr="00F97AF6">
        <w:trPr>
          <w:cantSplit/>
          <w:trHeight w:val="500"/>
        </w:trPr>
        <w:tc>
          <w:tcPr>
            <w:tcW w:w="900" w:type="dxa"/>
            <w:vMerge w:val="restart"/>
            <w:vAlign w:val="center"/>
          </w:tcPr>
          <w:p w14:paraId="42F785B9" w14:textId="77777777" w:rsidR="0064613F" w:rsidRPr="00E4440F" w:rsidRDefault="0064613F" w:rsidP="00A1391D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項次</w:t>
            </w:r>
          </w:p>
        </w:tc>
        <w:tc>
          <w:tcPr>
            <w:tcW w:w="5598" w:type="dxa"/>
            <w:vMerge w:val="restart"/>
            <w:vAlign w:val="center"/>
          </w:tcPr>
          <w:p w14:paraId="2CD1D849" w14:textId="77777777" w:rsidR="0064613F" w:rsidRPr="00E4440F" w:rsidRDefault="0064613F" w:rsidP="00A1391D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評</w:t>
            </w:r>
            <w:r w:rsidRPr="00E4440F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審</w:t>
            </w:r>
            <w:r w:rsidRPr="00E4440F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項</w:t>
            </w:r>
            <w:r w:rsidRPr="00E4440F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目</w:t>
            </w:r>
          </w:p>
        </w:tc>
        <w:tc>
          <w:tcPr>
            <w:tcW w:w="992" w:type="dxa"/>
            <w:vMerge w:val="restart"/>
            <w:vAlign w:val="center"/>
          </w:tcPr>
          <w:p w14:paraId="09632657" w14:textId="77777777" w:rsidR="0064613F" w:rsidRPr="00E4440F" w:rsidRDefault="0064613F" w:rsidP="00A1391D">
            <w:pP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4440F">
              <w:rPr>
                <w:rFonts w:ascii="標楷體" w:eastAsia="標楷體" w:hAnsi="標楷體" w:hint="eastAsia"/>
                <w:b/>
                <w:sz w:val="28"/>
                <w:szCs w:val="28"/>
              </w:rPr>
              <w:t>配分</w:t>
            </w:r>
          </w:p>
        </w:tc>
      </w:tr>
      <w:tr w:rsidR="0064613F" w:rsidRPr="00E4440F" w14:paraId="241E352B" w14:textId="77777777" w:rsidTr="00A1391D">
        <w:trPr>
          <w:cantSplit/>
          <w:trHeight w:val="360"/>
        </w:trPr>
        <w:tc>
          <w:tcPr>
            <w:tcW w:w="900" w:type="dxa"/>
            <w:vMerge/>
            <w:vAlign w:val="center"/>
          </w:tcPr>
          <w:p w14:paraId="3086E000" w14:textId="77777777" w:rsidR="0064613F" w:rsidRPr="00E4440F" w:rsidRDefault="0064613F" w:rsidP="00651C1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98" w:type="dxa"/>
            <w:vMerge/>
            <w:vAlign w:val="center"/>
          </w:tcPr>
          <w:p w14:paraId="414C3B90" w14:textId="77777777" w:rsidR="0064613F" w:rsidRPr="00E4440F" w:rsidRDefault="0064613F" w:rsidP="00651C1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2495DBCE" w14:textId="77777777" w:rsidR="0064613F" w:rsidRPr="00E4440F" w:rsidRDefault="0064613F" w:rsidP="00651C1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4613F" w:rsidRPr="00E4440F" w14:paraId="6AD3A1CB" w14:textId="77777777" w:rsidTr="00A1391D">
        <w:trPr>
          <w:cantSplit/>
          <w:trHeight w:val="567"/>
        </w:trPr>
        <w:tc>
          <w:tcPr>
            <w:tcW w:w="900" w:type="dxa"/>
            <w:vAlign w:val="center"/>
          </w:tcPr>
          <w:p w14:paraId="35EA8977" w14:textId="77777777" w:rsidR="0064613F" w:rsidRPr="00E4440F" w:rsidRDefault="0064613F" w:rsidP="00A1391D">
            <w:pPr>
              <w:snapToGrid w:val="0"/>
              <w:spacing w:line="360" w:lineRule="exact"/>
              <w:ind w:left="240" w:hanging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440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5598" w:type="dxa"/>
            <w:vAlign w:val="center"/>
          </w:tcPr>
          <w:p w14:paraId="01A861B7" w14:textId="77777777" w:rsidR="0064613F" w:rsidRPr="00A1391D" w:rsidRDefault="0064613F" w:rsidP="00A1391D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材質功能(布料品質與美觀)</w:t>
            </w:r>
          </w:p>
        </w:tc>
        <w:tc>
          <w:tcPr>
            <w:tcW w:w="992" w:type="dxa"/>
            <w:vAlign w:val="center"/>
          </w:tcPr>
          <w:p w14:paraId="33B967E6" w14:textId="77777777" w:rsidR="0064613F" w:rsidRPr="00A1391D" w:rsidRDefault="0064613F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20分</w:t>
            </w:r>
          </w:p>
        </w:tc>
      </w:tr>
      <w:tr w:rsidR="0064613F" w:rsidRPr="00E4440F" w14:paraId="6DBECE1F" w14:textId="77777777" w:rsidTr="00A1391D">
        <w:trPr>
          <w:cantSplit/>
          <w:trHeight w:val="567"/>
        </w:trPr>
        <w:tc>
          <w:tcPr>
            <w:tcW w:w="900" w:type="dxa"/>
            <w:vAlign w:val="center"/>
          </w:tcPr>
          <w:p w14:paraId="53F2D9C6" w14:textId="77777777" w:rsidR="0064613F" w:rsidRPr="00E4440F" w:rsidRDefault="0064613F" w:rsidP="00A1391D">
            <w:pPr>
              <w:snapToGrid w:val="0"/>
              <w:spacing w:line="360" w:lineRule="exact"/>
              <w:ind w:left="120" w:hanging="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4440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5598" w:type="dxa"/>
            <w:vAlign w:val="center"/>
          </w:tcPr>
          <w:p w14:paraId="26996E40" w14:textId="77777777" w:rsidR="0064613F" w:rsidRPr="00A1391D" w:rsidRDefault="0064613F" w:rsidP="00A1391D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製工技術(樣衣車工及後整理)</w:t>
            </w:r>
          </w:p>
        </w:tc>
        <w:tc>
          <w:tcPr>
            <w:tcW w:w="992" w:type="dxa"/>
            <w:vAlign w:val="center"/>
          </w:tcPr>
          <w:p w14:paraId="6727679D" w14:textId="77777777" w:rsidR="0064613F" w:rsidRPr="00A1391D" w:rsidRDefault="0064613F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20分</w:t>
            </w:r>
          </w:p>
        </w:tc>
      </w:tr>
      <w:tr w:rsidR="0064613F" w:rsidRPr="00E4440F" w14:paraId="4E1D5170" w14:textId="77777777" w:rsidTr="00A1391D">
        <w:trPr>
          <w:cantSplit/>
          <w:trHeight w:val="567"/>
        </w:trPr>
        <w:tc>
          <w:tcPr>
            <w:tcW w:w="900" w:type="dxa"/>
            <w:vAlign w:val="center"/>
          </w:tcPr>
          <w:p w14:paraId="02F30AA7" w14:textId="356379B4" w:rsidR="0064613F" w:rsidRPr="00E4440F" w:rsidRDefault="006F2709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5598" w:type="dxa"/>
            <w:vAlign w:val="center"/>
          </w:tcPr>
          <w:p w14:paraId="40EC55A0" w14:textId="77777777" w:rsidR="0064613F" w:rsidRPr="00A1391D" w:rsidRDefault="0064613F" w:rsidP="00A1391D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企劃內容(售後服務計劃、品質管制能力)</w:t>
            </w:r>
          </w:p>
        </w:tc>
        <w:tc>
          <w:tcPr>
            <w:tcW w:w="992" w:type="dxa"/>
            <w:vAlign w:val="center"/>
          </w:tcPr>
          <w:p w14:paraId="459DB45E" w14:textId="77777777" w:rsidR="0064613F" w:rsidRPr="00A1391D" w:rsidRDefault="0064613F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30分</w:t>
            </w:r>
          </w:p>
        </w:tc>
      </w:tr>
      <w:tr w:rsidR="0064613F" w:rsidRPr="00E4440F" w14:paraId="07D410B5" w14:textId="77777777" w:rsidTr="00A1391D">
        <w:trPr>
          <w:cantSplit/>
          <w:trHeight w:val="567"/>
        </w:trPr>
        <w:tc>
          <w:tcPr>
            <w:tcW w:w="900" w:type="dxa"/>
            <w:vAlign w:val="center"/>
          </w:tcPr>
          <w:p w14:paraId="55CA26FA" w14:textId="025467DF" w:rsidR="0064613F" w:rsidRPr="00E4440F" w:rsidRDefault="006F2709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5598" w:type="dxa"/>
            <w:vAlign w:val="center"/>
          </w:tcPr>
          <w:p w14:paraId="4746373C" w14:textId="77777777" w:rsidR="0064613F" w:rsidRPr="00A1391D" w:rsidRDefault="0064613F" w:rsidP="00A1391D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bCs/>
                <w:sz w:val="28"/>
                <w:szCs w:val="28"/>
              </w:rPr>
              <w:t>價格(是否具合理性與價格組成)</w:t>
            </w:r>
          </w:p>
        </w:tc>
        <w:tc>
          <w:tcPr>
            <w:tcW w:w="992" w:type="dxa"/>
            <w:vAlign w:val="center"/>
          </w:tcPr>
          <w:p w14:paraId="6BC1E0A5" w14:textId="50091911" w:rsidR="0064613F" w:rsidRPr="00A1391D" w:rsidRDefault="006F2709" w:rsidP="00A139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1391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64613F" w:rsidRPr="00A1391D">
              <w:rPr>
                <w:rFonts w:ascii="標楷體" w:eastAsia="標楷體" w:hAnsi="標楷體" w:hint="eastAsia"/>
                <w:sz w:val="28"/>
                <w:szCs w:val="28"/>
              </w:rPr>
              <w:t>0分</w:t>
            </w:r>
          </w:p>
        </w:tc>
      </w:tr>
    </w:tbl>
    <w:p w14:paraId="3D40736D" w14:textId="77777777" w:rsidR="0064613F" w:rsidRPr="00E4440F" w:rsidRDefault="0064613F" w:rsidP="00651C1B">
      <w:pPr>
        <w:pStyle w:val="a7"/>
        <w:ind w:leftChars="0" w:left="720"/>
        <w:jc w:val="both"/>
        <w:rPr>
          <w:rFonts w:ascii="標楷體" w:eastAsia="標楷體" w:hAnsi="標楷體"/>
          <w:sz w:val="28"/>
          <w:szCs w:val="28"/>
        </w:rPr>
      </w:pPr>
    </w:p>
    <w:sectPr w:rsidR="0064613F" w:rsidRPr="00E4440F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2C3F" w14:textId="77777777" w:rsidR="00713F3F" w:rsidRDefault="00713F3F" w:rsidP="00B04A4F">
      <w:r>
        <w:separator/>
      </w:r>
    </w:p>
  </w:endnote>
  <w:endnote w:type="continuationSeparator" w:id="0">
    <w:p w14:paraId="7E7AC618" w14:textId="77777777" w:rsidR="00713F3F" w:rsidRDefault="00713F3F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48EBB" w14:textId="77777777" w:rsidR="00713F3F" w:rsidRDefault="00713F3F" w:rsidP="00B04A4F">
      <w:r>
        <w:separator/>
      </w:r>
    </w:p>
  </w:footnote>
  <w:footnote w:type="continuationSeparator" w:id="0">
    <w:p w14:paraId="50614503" w14:textId="77777777" w:rsidR="00713F3F" w:rsidRDefault="00713F3F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B2ED8"/>
    <w:multiLevelType w:val="hybridMultilevel"/>
    <w:tmpl w:val="F1389774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22227"/>
    <w:rsid w:val="0004349B"/>
    <w:rsid w:val="00067190"/>
    <w:rsid w:val="000860F9"/>
    <w:rsid w:val="000D521F"/>
    <w:rsid w:val="000F44CF"/>
    <w:rsid w:val="00143257"/>
    <w:rsid w:val="001A0233"/>
    <w:rsid w:val="002B309F"/>
    <w:rsid w:val="002B3BFB"/>
    <w:rsid w:val="002D7E08"/>
    <w:rsid w:val="00330F4A"/>
    <w:rsid w:val="003B3EB4"/>
    <w:rsid w:val="004C04D8"/>
    <w:rsid w:val="004F6F04"/>
    <w:rsid w:val="00506A7D"/>
    <w:rsid w:val="006271E3"/>
    <w:rsid w:val="006313C5"/>
    <w:rsid w:val="006367FD"/>
    <w:rsid w:val="0064613F"/>
    <w:rsid w:val="00651C1B"/>
    <w:rsid w:val="006B41D4"/>
    <w:rsid w:val="006F2709"/>
    <w:rsid w:val="00713F3F"/>
    <w:rsid w:val="007768BC"/>
    <w:rsid w:val="008750B9"/>
    <w:rsid w:val="00884A50"/>
    <w:rsid w:val="008A5623"/>
    <w:rsid w:val="00911B31"/>
    <w:rsid w:val="009D7A4B"/>
    <w:rsid w:val="00A069C7"/>
    <w:rsid w:val="00A1032F"/>
    <w:rsid w:val="00A1391D"/>
    <w:rsid w:val="00A3333A"/>
    <w:rsid w:val="00AC3A30"/>
    <w:rsid w:val="00B04A4F"/>
    <w:rsid w:val="00B12A51"/>
    <w:rsid w:val="00BB3788"/>
    <w:rsid w:val="00BC39CB"/>
    <w:rsid w:val="00BF52DB"/>
    <w:rsid w:val="00CA1ADA"/>
    <w:rsid w:val="00CD0AF1"/>
    <w:rsid w:val="00CF5C5A"/>
    <w:rsid w:val="00DC15CC"/>
    <w:rsid w:val="00E4440F"/>
    <w:rsid w:val="00E82370"/>
    <w:rsid w:val="00E83FD7"/>
    <w:rsid w:val="00ED3F08"/>
    <w:rsid w:val="00EF4196"/>
    <w:rsid w:val="00F97AF6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4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鄭凱云</cp:lastModifiedBy>
  <cp:revision>21</cp:revision>
  <cp:lastPrinted>2024-07-15T09:46:00Z</cp:lastPrinted>
  <dcterms:created xsi:type="dcterms:W3CDTF">2020-08-22T06:18:00Z</dcterms:created>
  <dcterms:modified xsi:type="dcterms:W3CDTF">2024-08-06T06:36:00Z</dcterms:modified>
</cp:coreProperties>
</file>