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5F47E9" w14:textId="77777777" w:rsidR="00A25F03" w:rsidRPr="00A25F03" w:rsidRDefault="00A25F03" w:rsidP="00D93AC1">
      <w:pPr>
        <w:spacing w:beforeLines="50" w:before="180" w:afterLines="20" w:after="72" w:line="440" w:lineRule="exact"/>
        <w:jc w:val="center"/>
        <w:rPr>
          <w:rFonts w:ascii="標楷體" w:eastAsia="標楷體" w:hAnsi="標楷體"/>
          <w:sz w:val="36"/>
        </w:rPr>
      </w:pPr>
      <w:r w:rsidRPr="00A25F03">
        <w:rPr>
          <w:rFonts w:ascii="標楷體" w:eastAsia="標楷體" w:hAnsi="標楷體" w:hint="eastAsia"/>
          <w:sz w:val="36"/>
        </w:rPr>
        <w:t>財團法人犯罪被害人保護協會</w:t>
      </w:r>
    </w:p>
    <w:p w14:paraId="6F56B206" w14:textId="60AFBE21" w:rsidR="00A25F03" w:rsidRPr="00A25F03" w:rsidRDefault="00F54FD3" w:rsidP="00D93AC1">
      <w:pPr>
        <w:spacing w:beforeLines="50" w:before="180" w:afterLines="20" w:after="72" w:line="440" w:lineRule="exact"/>
        <w:jc w:val="center"/>
        <w:rPr>
          <w:rFonts w:ascii="標楷體" w:eastAsia="標楷體" w:hAnsi="標楷體"/>
          <w:sz w:val="36"/>
        </w:rPr>
      </w:pPr>
      <w:r w:rsidRPr="00F54FD3">
        <w:rPr>
          <w:rFonts w:ascii="標楷體" w:eastAsia="標楷體" w:hAnsi="標楷體" w:hint="eastAsia"/>
          <w:sz w:val="36"/>
        </w:rPr>
        <w:t>115年度財務管理顧問服務採購案</w:t>
      </w:r>
    </w:p>
    <w:p w14:paraId="6BF87E19" w14:textId="77777777" w:rsidR="00A25F03" w:rsidRPr="00A25F03" w:rsidRDefault="00A25F03" w:rsidP="00D93AC1">
      <w:pPr>
        <w:spacing w:beforeLines="50" w:before="180" w:afterLines="20" w:after="72" w:line="440" w:lineRule="exact"/>
        <w:jc w:val="center"/>
        <w:rPr>
          <w:rFonts w:ascii="標楷體" w:eastAsia="標楷體" w:hAnsi="標楷體"/>
          <w:sz w:val="36"/>
        </w:rPr>
      </w:pPr>
      <w:r w:rsidRPr="00A25F03">
        <w:rPr>
          <w:rFonts w:ascii="標楷體" w:eastAsia="標楷體" w:hAnsi="標楷體" w:hint="eastAsia"/>
          <w:sz w:val="36"/>
        </w:rPr>
        <w:t>需求說明書</w:t>
      </w:r>
    </w:p>
    <w:p w14:paraId="370A70E8" w14:textId="77777777" w:rsidR="00A25F03" w:rsidRPr="00A25F03" w:rsidRDefault="00A25F03" w:rsidP="00D93AC1">
      <w:pPr>
        <w:pStyle w:val="a3"/>
        <w:numPr>
          <w:ilvl w:val="0"/>
          <w:numId w:val="1"/>
        </w:numPr>
        <w:spacing w:beforeLines="50" w:before="180" w:line="440" w:lineRule="exact"/>
        <w:ind w:leftChars="0" w:left="482" w:hanging="482"/>
        <w:jc w:val="both"/>
        <w:rPr>
          <w:rFonts w:ascii="標楷體" w:eastAsia="標楷體" w:hAnsi="標楷體"/>
          <w:sz w:val="28"/>
        </w:rPr>
      </w:pPr>
      <w:r w:rsidRPr="00A25F03">
        <w:rPr>
          <w:rFonts w:ascii="標楷體" w:eastAsia="標楷體" w:hAnsi="標楷體" w:hint="eastAsia"/>
          <w:sz w:val="28"/>
        </w:rPr>
        <w:t>緣起</w:t>
      </w:r>
    </w:p>
    <w:p w14:paraId="269A3672" w14:textId="77777777" w:rsidR="00A25F03" w:rsidRDefault="00A25F03" w:rsidP="00D93AC1">
      <w:pPr>
        <w:pStyle w:val="a3"/>
        <w:spacing w:beforeLines="50" w:before="180" w:line="440" w:lineRule="exact"/>
        <w:ind w:leftChars="0" w:left="482" w:firstLineChars="200" w:firstLine="560"/>
        <w:jc w:val="both"/>
        <w:rPr>
          <w:rFonts w:ascii="標楷體" w:eastAsia="標楷體" w:hAnsi="標楷體"/>
          <w:sz w:val="28"/>
        </w:rPr>
      </w:pPr>
      <w:r w:rsidRPr="00A25F03">
        <w:rPr>
          <w:rFonts w:ascii="標楷體" w:eastAsia="標楷體" w:hAnsi="標楷體" w:hint="eastAsia"/>
          <w:sz w:val="28"/>
        </w:rPr>
        <w:t>財團法人犯罪被害人保護協會（以下簡稱「本會」）自設立以來，肩負推動犯罪被害人權益保障之重要任務，並長期與司法、警政、社政等部門合作，致力於提供犯罪被害人及其家屬法律、心理及社會福利等全方位之協助。隨著社會對於被害人保護的重視日增，以及實務需求不斷擴大，本會之業務量與人力需求亦隨之成長。</w:t>
      </w:r>
      <w:bookmarkStart w:id="0" w:name="_GoBack"/>
      <w:bookmarkEnd w:id="0"/>
    </w:p>
    <w:p w14:paraId="551E1844" w14:textId="1AE32B20" w:rsidR="00302901" w:rsidRPr="00A25F03" w:rsidRDefault="00302901" w:rsidP="00D93AC1">
      <w:pPr>
        <w:pStyle w:val="a3"/>
        <w:spacing w:beforeLines="50" w:before="180" w:line="440" w:lineRule="exact"/>
        <w:ind w:leftChars="0" w:left="482" w:firstLineChars="200" w:firstLine="560"/>
        <w:jc w:val="both"/>
        <w:rPr>
          <w:rFonts w:ascii="標楷體" w:eastAsia="標楷體" w:hAnsi="標楷體"/>
          <w:sz w:val="28"/>
        </w:rPr>
      </w:pPr>
      <w:r w:rsidRPr="00302901">
        <w:rPr>
          <w:rFonts w:ascii="標楷體" w:eastAsia="標楷體" w:hAnsi="標楷體" w:hint="eastAsia"/>
          <w:sz w:val="28"/>
        </w:rPr>
        <w:t>為確保本會財務管理體系符合《財團法人法》、《政府補助款作業原則》及《內部控制與稽核制度》之相關規定，並落實法務部年度評鑑及總會內部稽核所要求之改進事項，本會需進一步健全財務運作流程與管理制度。</w:t>
      </w:r>
    </w:p>
    <w:p w14:paraId="052775CE" w14:textId="22CD6245" w:rsidR="00A25F03" w:rsidRPr="00A25F03" w:rsidRDefault="00401DAB" w:rsidP="00302901">
      <w:pPr>
        <w:pStyle w:val="a3"/>
        <w:spacing w:beforeLines="50" w:before="180" w:line="440" w:lineRule="exact"/>
        <w:ind w:leftChars="0" w:left="482" w:firstLineChars="200" w:firstLine="560"/>
        <w:jc w:val="both"/>
        <w:rPr>
          <w:rFonts w:ascii="標楷體" w:eastAsia="標楷體" w:hAnsi="標楷體"/>
          <w:sz w:val="28"/>
        </w:rPr>
      </w:pPr>
      <w:r w:rsidRPr="00A25F03">
        <w:rPr>
          <w:rFonts w:ascii="標楷體" w:eastAsia="標楷體" w:hAnsi="標楷體" w:hint="eastAsia"/>
          <w:sz w:val="28"/>
        </w:rPr>
        <w:t>因應組織擴編後所衍生之管理挑戰，</w:t>
      </w:r>
      <w:r w:rsidR="00A25F03" w:rsidRPr="00A25F03">
        <w:rPr>
          <w:rFonts w:ascii="標楷體" w:eastAsia="標楷體" w:hAnsi="標楷體" w:hint="eastAsia"/>
          <w:sz w:val="28"/>
        </w:rPr>
        <w:t>為強化組織運作效能，</w:t>
      </w:r>
      <w:r w:rsidRPr="00401DAB">
        <w:rPr>
          <w:rFonts w:ascii="標楷體" w:eastAsia="標楷體" w:hAnsi="標楷體"/>
          <w:sz w:val="28"/>
        </w:rPr>
        <w:t>提升財務管理效率與透明度，優化請款流程、明確經費使用標準並建立有效的管理權限控管機制，</w:t>
      </w:r>
      <w:r w:rsidR="004C343F" w:rsidRPr="00A25F03">
        <w:rPr>
          <w:rFonts w:ascii="標楷體" w:eastAsia="標楷體" w:hAnsi="標楷體" w:hint="eastAsia"/>
          <w:sz w:val="28"/>
        </w:rPr>
        <w:t>本會擬辦理「</w:t>
      </w:r>
      <w:r w:rsidR="004C343F">
        <w:rPr>
          <w:rFonts w:ascii="標楷體" w:eastAsia="標楷體" w:hAnsi="標楷體" w:hint="eastAsia"/>
          <w:sz w:val="28"/>
        </w:rPr>
        <w:t>財務管理</w:t>
      </w:r>
      <w:r w:rsidR="004C343F" w:rsidRPr="00A25F03">
        <w:rPr>
          <w:rFonts w:ascii="標楷體" w:eastAsia="標楷體" w:hAnsi="標楷體" w:hint="eastAsia"/>
          <w:sz w:val="28"/>
        </w:rPr>
        <w:t>顧問服務採購案」</w:t>
      </w:r>
      <w:r w:rsidRPr="00401DAB">
        <w:rPr>
          <w:rFonts w:ascii="標楷體" w:eastAsia="標楷體" w:hAnsi="標楷體"/>
          <w:sz w:val="28"/>
        </w:rPr>
        <w:t>，</w:t>
      </w:r>
      <w:r w:rsidR="004C343F" w:rsidRPr="00A25F03">
        <w:rPr>
          <w:rFonts w:ascii="標楷體" w:eastAsia="標楷體" w:hAnsi="標楷體" w:hint="eastAsia"/>
          <w:sz w:val="28"/>
        </w:rPr>
        <w:t>期能透過專業</w:t>
      </w:r>
      <w:r w:rsidR="004C343F" w:rsidRPr="00401DAB">
        <w:rPr>
          <w:rFonts w:ascii="標楷體" w:eastAsia="標楷體" w:hAnsi="標楷體"/>
          <w:sz w:val="28"/>
        </w:rPr>
        <w:t>財務管理顧問</w:t>
      </w:r>
      <w:r w:rsidRPr="00401DAB">
        <w:rPr>
          <w:rFonts w:ascii="標楷體" w:eastAsia="標楷體" w:hAnsi="標楷體"/>
          <w:sz w:val="28"/>
        </w:rPr>
        <w:t>協助進行整體制度規劃與執行建議，作為未來財務制度標準化的基礎</w:t>
      </w:r>
      <w:r w:rsidR="004C343F">
        <w:rPr>
          <w:rFonts w:ascii="標楷體" w:eastAsia="標楷體" w:hAnsi="標楷體" w:hint="eastAsia"/>
          <w:sz w:val="28"/>
        </w:rPr>
        <w:t>，</w:t>
      </w:r>
      <w:r w:rsidR="00A25F03" w:rsidRPr="00A25F03">
        <w:rPr>
          <w:rFonts w:ascii="標楷體" w:eastAsia="標楷體" w:hAnsi="標楷體" w:hint="eastAsia"/>
          <w:sz w:val="28"/>
        </w:rPr>
        <w:t>強化整體組織之穩定與永續發展。</w:t>
      </w:r>
    </w:p>
    <w:p w14:paraId="55DF10C3" w14:textId="77777777" w:rsidR="00A25F03" w:rsidRPr="00A25F03" w:rsidRDefault="00A25F03" w:rsidP="00D93AC1">
      <w:pPr>
        <w:pStyle w:val="a3"/>
        <w:numPr>
          <w:ilvl w:val="0"/>
          <w:numId w:val="1"/>
        </w:numPr>
        <w:spacing w:beforeLines="50" w:before="180" w:line="440" w:lineRule="exact"/>
        <w:ind w:leftChars="0"/>
        <w:jc w:val="both"/>
        <w:rPr>
          <w:rFonts w:ascii="標楷體" w:eastAsia="標楷體" w:hAnsi="標楷體"/>
          <w:sz w:val="28"/>
        </w:rPr>
      </w:pPr>
      <w:r w:rsidRPr="00A25F03">
        <w:rPr>
          <w:rFonts w:ascii="標楷體" w:eastAsia="標楷體" w:hAnsi="標楷體" w:hint="eastAsia"/>
          <w:sz w:val="28"/>
        </w:rPr>
        <w:t>目前協會需求</w:t>
      </w:r>
    </w:p>
    <w:p w14:paraId="6992FA21" w14:textId="56282C35" w:rsidR="00A25F03" w:rsidRPr="00A25F03" w:rsidRDefault="004C343F" w:rsidP="00D93AC1">
      <w:pPr>
        <w:pStyle w:val="a3"/>
        <w:numPr>
          <w:ilvl w:val="0"/>
          <w:numId w:val="2"/>
        </w:numPr>
        <w:spacing w:beforeLines="50" w:before="180" w:line="440" w:lineRule="exact"/>
        <w:ind w:leftChars="0"/>
        <w:jc w:val="both"/>
        <w:rPr>
          <w:rFonts w:ascii="標楷體" w:eastAsia="標楷體" w:hAnsi="標楷體"/>
          <w:sz w:val="28"/>
        </w:rPr>
      </w:pPr>
      <w:r w:rsidRPr="00401DAB">
        <w:rPr>
          <w:rFonts w:ascii="標楷體" w:eastAsia="標楷體" w:hAnsi="標楷體"/>
          <w:sz w:val="28"/>
        </w:rPr>
        <w:t>優化</w:t>
      </w:r>
      <w:r w:rsidR="00D8427F">
        <w:rPr>
          <w:rFonts w:ascii="標楷體" w:eastAsia="標楷體" w:hAnsi="標楷體" w:hint="eastAsia"/>
          <w:sz w:val="28"/>
        </w:rPr>
        <w:t>匯</w:t>
      </w:r>
      <w:r w:rsidRPr="00401DAB">
        <w:rPr>
          <w:rFonts w:ascii="標楷體" w:eastAsia="標楷體" w:hAnsi="標楷體"/>
          <w:sz w:val="28"/>
        </w:rPr>
        <w:t>款流程</w:t>
      </w:r>
    </w:p>
    <w:p w14:paraId="056C7546" w14:textId="72E697DB" w:rsidR="00A25F03" w:rsidRPr="00D93AC1" w:rsidRDefault="00D8427F" w:rsidP="00D93AC1">
      <w:pPr>
        <w:spacing w:line="440" w:lineRule="exact"/>
        <w:ind w:leftChars="600" w:left="1440"/>
        <w:jc w:val="both"/>
        <w:rPr>
          <w:rFonts w:ascii="標楷體" w:eastAsia="標楷體" w:hAnsi="標楷體"/>
          <w:sz w:val="28"/>
        </w:rPr>
      </w:pPr>
      <w:r w:rsidRPr="00D93AC1">
        <w:rPr>
          <w:rFonts w:ascii="標楷體" w:eastAsia="標楷體" w:hAnsi="標楷體"/>
          <w:sz w:val="28"/>
        </w:rPr>
        <w:t>隨著</w:t>
      </w:r>
      <w:r w:rsidRPr="00D93AC1">
        <w:rPr>
          <w:rFonts w:ascii="標楷體" w:eastAsia="標楷體" w:hAnsi="標楷體" w:hint="eastAsia"/>
          <w:sz w:val="28"/>
        </w:rPr>
        <w:t>協會</w:t>
      </w:r>
      <w:r w:rsidRPr="00D93AC1">
        <w:rPr>
          <w:rFonts w:ascii="標楷體" w:eastAsia="標楷體" w:hAnsi="標楷體"/>
          <w:sz w:val="28"/>
        </w:rPr>
        <w:t>持續成長，團隊成員逐步增加，整體營運規模亦日益擴大。</w:t>
      </w:r>
      <w:r w:rsidR="00745A70" w:rsidRPr="00D93AC1">
        <w:rPr>
          <w:rFonts w:ascii="標楷體" w:eastAsia="標楷體" w:hAnsi="標楷體" w:hint="eastAsia"/>
          <w:sz w:val="28"/>
        </w:rPr>
        <w:t>匯</w:t>
      </w:r>
      <w:r w:rsidR="00745A70" w:rsidRPr="00D93AC1">
        <w:rPr>
          <w:rFonts w:ascii="標楷體" w:eastAsia="標楷體" w:hAnsi="標楷體"/>
          <w:sz w:val="28"/>
        </w:rPr>
        <w:t>款流程缺乏標準化，各部門作業模式不一，導致流程冗長、</w:t>
      </w:r>
      <w:r w:rsidR="00745A70" w:rsidRPr="00D93AC1">
        <w:rPr>
          <w:rFonts w:ascii="標楷體" w:eastAsia="標楷體" w:hAnsi="標楷體" w:hint="eastAsia"/>
          <w:sz w:val="28"/>
        </w:rPr>
        <w:t>無法</w:t>
      </w:r>
      <w:r w:rsidR="00745A70" w:rsidRPr="00D93AC1">
        <w:rPr>
          <w:rFonts w:ascii="標楷體" w:eastAsia="標楷體" w:hAnsi="標楷體"/>
          <w:sz w:val="28"/>
        </w:rPr>
        <w:t>有系統地管理付款時程</w:t>
      </w:r>
      <w:r w:rsidR="00745A70" w:rsidRPr="00D93AC1">
        <w:rPr>
          <w:rFonts w:ascii="標楷體" w:eastAsia="標楷體" w:hAnsi="標楷體" w:hint="eastAsia"/>
          <w:sz w:val="28"/>
        </w:rPr>
        <w:t>等，</w:t>
      </w:r>
      <w:r w:rsidRPr="00D93AC1">
        <w:rPr>
          <w:rFonts w:ascii="標楷體" w:eastAsia="標楷體" w:hAnsi="標楷體"/>
          <w:sz w:val="28"/>
        </w:rPr>
        <w:t>為提升工作效率，確保財務作業更加順暢與透明，</w:t>
      </w:r>
      <w:r w:rsidR="001F1D8F" w:rsidRPr="001F1D8F">
        <w:rPr>
          <w:rFonts w:ascii="標楷體" w:eastAsia="標楷體" w:hAnsi="標楷體" w:hint="eastAsia"/>
          <w:sz w:val="28"/>
        </w:rPr>
        <w:t>並符合內部控制制度及稽核要求，急需進一步委由專業外部顧問優化現行匯款流程，建置自動化及可追蹤之作業機制，以確保各單</w:t>
      </w:r>
      <w:r w:rsidR="001F1D8F" w:rsidRPr="001F1D8F">
        <w:rPr>
          <w:rFonts w:ascii="標楷體" w:eastAsia="標楷體" w:hAnsi="標楷體" w:hint="eastAsia"/>
          <w:sz w:val="28"/>
        </w:rPr>
        <w:lastRenderedPageBreak/>
        <w:t>位運作順暢，提升整體作業品質與風險控管能力</w:t>
      </w:r>
      <w:r w:rsidR="00A25F03" w:rsidRPr="00D93AC1">
        <w:rPr>
          <w:rFonts w:ascii="標楷體" w:eastAsia="標楷體" w:hAnsi="標楷體" w:hint="eastAsia"/>
          <w:sz w:val="28"/>
        </w:rPr>
        <w:t>。</w:t>
      </w:r>
    </w:p>
    <w:p w14:paraId="2CDBA877" w14:textId="1D84C231" w:rsidR="00A25F03" w:rsidRPr="00A25F03" w:rsidRDefault="007A0AB6" w:rsidP="00D93AC1">
      <w:pPr>
        <w:pStyle w:val="a3"/>
        <w:numPr>
          <w:ilvl w:val="0"/>
          <w:numId w:val="2"/>
        </w:numPr>
        <w:spacing w:beforeLines="50" w:before="180" w:line="440" w:lineRule="exact"/>
        <w:ind w:leftChars="0"/>
        <w:jc w:val="both"/>
        <w:rPr>
          <w:rFonts w:ascii="標楷體" w:eastAsia="標楷體" w:hAnsi="標楷體"/>
          <w:sz w:val="28"/>
        </w:rPr>
      </w:pPr>
      <w:r w:rsidRPr="00401DAB">
        <w:rPr>
          <w:rFonts w:ascii="標楷體" w:eastAsia="標楷體" w:hAnsi="標楷體"/>
          <w:sz w:val="28"/>
        </w:rPr>
        <w:t>明確經費使用標準</w:t>
      </w:r>
    </w:p>
    <w:p w14:paraId="49C95EDF" w14:textId="574B2440" w:rsidR="00DA2229" w:rsidRPr="00D93AC1" w:rsidRDefault="002433D7" w:rsidP="00D93AC1">
      <w:pPr>
        <w:spacing w:line="440" w:lineRule="exact"/>
        <w:ind w:leftChars="600" w:left="1440"/>
        <w:jc w:val="both"/>
        <w:rPr>
          <w:rFonts w:ascii="標楷體" w:eastAsia="標楷體" w:hAnsi="標楷體"/>
          <w:sz w:val="28"/>
        </w:rPr>
      </w:pPr>
      <w:r w:rsidRPr="00D93AC1">
        <w:rPr>
          <w:rFonts w:ascii="標楷體" w:eastAsia="標楷體" w:hAnsi="標楷體" w:hint="eastAsia"/>
          <w:sz w:val="28"/>
        </w:rPr>
        <w:t>早期本會管理階層主要是由當地地檢署檢察官兼任，熟悉本會相關經費之使用，</w:t>
      </w:r>
      <w:r w:rsidR="00447702" w:rsidRPr="00D93AC1">
        <w:rPr>
          <w:rFonts w:ascii="標楷體" w:eastAsia="標楷體" w:hAnsi="標楷體"/>
          <w:sz w:val="28"/>
        </w:rPr>
        <w:t>因</w:t>
      </w:r>
      <w:r w:rsidR="00447702" w:rsidRPr="00D93AC1">
        <w:rPr>
          <w:rFonts w:ascii="標楷體" w:eastAsia="標楷體" w:hAnsi="標楷體" w:hint="eastAsia"/>
          <w:sz w:val="28"/>
        </w:rPr>
        <w:t>應司</w:t>
      </w:r>
      <w:r w:rsidRPr="00D93AC1">
        <w:rPr>
          <w:rFonts w:ascii="標楷體" w:eastAsia="標楷體" w:hAnsi="標楷體" w:hint="eastAsia"/>
          <w:sz w:val="28"/>
        </w:rPr>
        <w:t>法</w:t>
      </w:r>
      <w:r w:rsidR="00447702" w:rsidRPr="00D93AC1">
        <w:rPr>
          <w:rFonts w:ascii="標楷體" w:eastAsia="標楷體" w:hAnsi="標楷體" w:hint="eastAsia"/>
          <w:sz w:val="28"/>
        </w:rPr>
        <w:t>改革，檢察官</w:t>
      </w:r>
      <w:r w:rsidRPr="00D93AC1">
        <w:rPr>
          <w:rFonts w:ascii="標楷體" w:eastAsia="標楷體" w:hAnsi="標楷體" w:hint="eastAsia"/>
          <w:sz w:val="28"/>
        </w:rPr>
        <w:t>不得</w:t>
      </w:r>
      <w:r w:rsidR="00447702" w:rsidRPr="00D93AC1">
        <w:rPr>
          <w:rFonts w:ascii="標楷體" w:eastAsia="標楷體" w:hAnsi="標楷體" w:hint="eastAsia"/>
          <w:sz w:val="28"/>
        </w:rPr>
        <w:t>兼任</w:t>
      </w:r>
      <w:r w:rsidRPr="00D93AC1">
        <w:rPr>
          <w:rFonts w:ascii="標楷體" w:eastAsia="標楷體" w:hAnsi="標楷體" w:hint="eastAsia"/>
          <w:sz w:val="28"/>
        </w:rPr>
        <w:t>外部職務</w:t>
      </w:r>
      <w:r w:rsidR="00447702" w:rsidRPr="00D93AC1">
        <w:rPr>
          <w:rFonts w:ascii="標楷體" w:eastAsia="標楷體" w:hAnsi="標楷體" w:hint="eastAsia"/>
          <w:sz w:val="28"/>
        </w:rPr>
        <w:t>，故改由</w:t>
      </w:r>
      <w:r w:rsidR="00A41686" w:rsidRPr="00D93AC1">
        <w:rPr>
          <w:rFonts w:ascii="標楷體" w:eastAsia="標楷體" w:hAnsi="標楷體"/>
          <w:sz w:val="28"/>
        </w:rPr>
        <w:t>具經驗之外部人才擔任專任管理職務</w:t>
      </w:r>
      <w:r w:rsidR="00447702" w:rsidRPr="00D93AC1">
        <w:rPr>
          <w:rFonts w:ascii="標楷體" w:eastAsia="標楷體" w:hAnsi="標楷體" w:hint="eastAsia"/>
          <w:sz w:val="28"/>
        </w:rPr>
        <w:t>，</w:t>
      </w:r>
      <w:r w:rsidR="008660FA" w:rsidRPr="00D93AC1">
        <w:rPr>
          <w:rFonts w:ascii="標楷體" w:eastAsia="標楷體" w:hAnsi="標楷體"/>
          <w:sz w:val="28"/>
        </w:rPr>
        <w:t>為確保各項經費使用更加透明、合規與有效管理</w:t>
      </w:r>
      <w:r w:rsidR="00A25F03" w:rsidRPr="00D93AC1">
        <w:rPr>
          <w:rFonts w:ascii="標楷體" w:eastAsia="標楷體" w:hAnsi="標楷體" w:hint="eastAsia"/>
          <w:sz w:val="28"/>
        </w:rPr>
        <w:t>，</w:t>
      </w:r>
      <w:r w:rsidR="00D806B0" w:rsidRPr="00D806B0">
        <w:rPr>
          <w:rFonts w:ascii="標楷體" w:eastAsia="標楷體" w:hAnsi="標楷體" w:hint="eastAsia"/>
          <w:sz w:val="28"/>
        </w:rPr>
        <w:t>本會需仰賴專業外部顧問協助建立明確化之經費使用標準及文件指引，以作為分會執行與總會審核之依據，並能即時回應評鑑與稽核所提改進意見。</w:t>
      </w:r>
    </w:p>
    <w:p w14:paraId="50A1C6F5" w14:textId="3F69A76D" w:rsidR="00DA2229" w:rsidRDefault="00DA2229" w:rsidP="00D93AC1">
      <w:pPr>
        <w:pStyle w:val="a3"/>
        <w:numPr>
          <w:ilvl w:val="0"/>
          <w:numId w:val="2"/>
        </w:numPr>
        <w:spacing w:beforeLines="50" w:before="180" w:line="440" w:lineRule="exact"/>
        <w:ind w:leftChars="0"/>
        <w:jc w:val="both"/>
        <w:rPr>
          <w:rFonts w:ascii="標楷體" w:eastAsia="標楷體" w:hAnsi="標楷體"/>
          <w:sz w:val="28"/>
        </w:rPr>
      </w:pPr>
      <w:r w:rsidRPr="00401DAB">
        <w:rPr>
          <w:rFonts w:ascii="標楷體" w:eastAsia="標楷體" w:hAnsi="標楷體"/>
          <w:sz w:val="28"/>
        </w:rPr>
        <w:t>建立有效的</w:t>
      </w:r>
      <w:r w:rsidR="005A0444">
        <w:rPr>
          <w:rFonts w:ascii="標楷體" w:eastAsia="標楷體" w:hAnsi="標楷體" w:hint="eastAsia"/>
          <w:sz w:val="28"/>
        </w:rPr>
        <w:t>經費</w:t>
      </w:r>
      <w:r w:rsidRPr="00401DAB">
        <w:rPr>
          <w:rFonts w:ascii="標楷體" w:eastAsia="標楷體" w:hAnsi="標楷體"/>
          <w:sz w:val="28"/>
        </w:rPr>
        <w:t>管理權限控管機制</w:t>
      </w:r>
    </w:p>
    <w:p w14:paraId="5348E659" w14:textId="351ED4BB" w:rsidR="003A0C41" w:rsidRPr="003A0C41" w:rsidRDefault="003A0C41" w:rsidP="003A0C41">
      <w:pPr>
        <w:pStyle w:val="a3"/>
        <w:spacing w:line="440" w:lineRule="exact"/>
        <w:ind w:leftChars="0" w:left="1417"/>
        <w:jc w:val="both"/>
        <w:rPr>
          <w:rFonts w:ascii="標楷體" w:eastAsia="標楷體" w:hAnsi="標楷體"/>
          <w:sz w:val="28"/>
        </w:rPr>
      </w:pPr>
      <w:r w:rsidRPr="003A0C41">
        <w:rPr>
          <w:rFonts w:ascii="標楷體" w:eastAsia="標楷體" w:hAnsi="標楷體" w:hint="eastAsia"/>
          <w:sz w:val="28"/>
        </w:rPr>
        <w:t>因早期本會的收入來源有法務部、地方檢察署補助款及社會大眾捐款，故費用支出單據上含括各層級經費授權人員，惟目前主要經費來源由法務部統籌支撥且預算規模擴大，</w:t>
      </w:r>
      <w:r w:rsidR="00216B72" w:rsidRPr="00216B72">
        <w:rPr>
          <w:rFonts w:ascii="標楷體" w:eastAsia="標楷體" w:hAnsi="標楷體" w:hint="eastAsia"/>
          <w:sz w:val="28"/>
        </w:rPr>
        <w:t>需聘請具實務經驗之財務管理顧問，依據內部控制制度及授權原則，協助建立明確之經費授權與權責分級制度，俾利總會落實稽核與各分會之自我檢核機制，確保經費使用之安全性、合規性與可追溯性。</w:t>
      </w:r>
    </w:p>
    <w:p w14:paraId="3C1D7B96" w14:textId="77777777" w:rsidR="00A25F03" w:rsidRPr="00A25F03" w:rsidRDefault="00A25F03" w:rsidP="00D93AC1">
      <w:pPr>
        <w:pStyle w:val="a3"/>
        <w:numPr>
          <w:ilvl w:val="0"/>
          <w:numId w:val="1"/>
        </w:numPr>
        <w:spacing w:beforeLines="50" w:before="180" w:line="440" w:lineRule="exact"/>
        <w:ind w:leftChars="0"/>
        <w:jc w:val="both"/>
        <w:rPr>
          <w:rFonts w:ascii="標楷體" w:eastAsia="標楷體" w:hAnsi="標楷體"/>
          <w:sz w:val="28"/>
        </w:rPr>
      </w:pPr>
      <w:r w:rsidRPr="00A25F03">
        <w:rPr>
          <w:rFonts w:ascii="標楷體" w:eastAsia="標楷體" w:hAnsi="標楷體" w:hint="eastAsia"/>
          <w:sz w:val="28"/>
        </w:rPr>
        <w:t>履約內容</w:t>
      </w:r>
    </w:p>
    <w:p w14:paraId="76DF8C6A" w14:textId="6E4528D6" w:rsidR="007A74E2" w:rsidRPr="005E0740" w:rsidRDefault="005A0444" w:rsidP="00D93AC1">
      <w:pPr>
        <w:pStyle w:val="a3"/>
        <w:numPr>
          <w:ilvl w:val="0"/>
          <w:numId w:val="3"/>
        </w:numPr>
        <w:spacing w:line="440" w:lineRule="exact"/>
        <w:ind w:leftChars="250" w:left="1320"/>
        <w:jc w:val="both"/>
        <w:rPr>
          <w:rFonts w:ascii="標楷體" w:eastAsia="標楷體" w:hAnsi="標楷體"/>
          <w:sz w:val="28"/>
        </w:rPr>
      </w:pPr>
      <w:r>
        <w:rPr>
          <w:rFonts w:ascii="標楷體" w:eastAsia="標楷體" w:hAnsi="標楷體" w:hint="eastAsia"/>
          <w:sz w:val="28"/>
        </w:rPr>
        <w:t>協助</w:t>
      </w:r>
      <w:r w:rsidR="005E0740">
        <w:rPr>
          <w:rFonts w:ascii="標楷體" w:eastAsia="標楷體" w:hAnsi="標楷體" w:hint="eastAsia"/>
          <w:sz w:val="28"/>
        </w:rPr>
        <w:t>下列</w:t>
      </w:r>
      <w:r w:rsidR="006F28C0">
        <w:rPr>
          <w:rFonts w:ascii="標楷體" w:eastAsia="標楷體" w:hAnsi="標楷體" w:hint="eastAsia"/>
          <w:sz w:val="28"/>
        </w:rPr>
        <w:t>匯</w:t>
      </w:r>
      <w:r w:rsidR="006D5E81">
        <w:rPr>
          <w:rFonts w:ascii="標楷體" w:eastAsia="標楷體" w:hAnsi="標楷體" w:hint="eastAsia"/>
          <w:sz w:val="28"/>
        </w:rPr>
        <w:t>款流程</w:t>
      </w:r>
      <w:r w:rsidR="007A74E2">
        <w:rPr>
          <w:rFonts w:ascii="標楷體" w:eastAsia="標楷體" w:hAnsi="標楷體" w:hint="eastAsia"/>
          <w:sz w:val="28"/>
        </w:rPr>
        <w:t>建構或優化:</w:t>
      </w:r>
    </w:p>
    <w:p w14:paraId="471654AF" w14:textId="2144A034" w:rsidR="007F6E96" w:rsidRDefault="007F6E96" w:rsidP="00D93AC1">
      <w:pPr>
        <w:pStyle w:val="a3"/>
        <w:numPr>
          <w:ilvl w:val="0"/>
          <w:numId w:val="4"/>
        </w:numPr>
        <w:spacing w:line="440" w:lineRule="exact"/>
        <w:ind w:leftChars="0" w:left="1777"/>
        <w:jc w:val="both"/>
        <w:rPr>
          <w:rFonts w:ascii="標楷體" w:eastAsia="標楷體" w:hAnsi="標楷體"/>
          <w:sz w:val="28"/>
        </w:rPr>
      </w:pPr>
      <w:r>
        <w:rPr>
          <w:rFonts w:ascii="標楷體" w:eastAsia="標楷體" w:hAnsi="標楷體" w:hint="eastAsia"/>
          <w:sz w:val="28"/>
        </w:rPr>
        <w:t>請款審核機制</w:t>
      </w:r>
    </w:p>
    <w:p w14:paraId="46EBD3A7" w14:textId="28F6E325" w:rsidR="007A74E2" w:rsidRDefault="00F951C8" w:rsidP="00D93AC1">
      <w:pPr>
        <w:pStyle w:val="a3"/>
        <w:numPr>
          <w:ilvl w:val="0"/>
          <w:numId w:val="4"/>
        </w:numPr>
        <w:spacing w:line="440" w:lineRule="exact"/>
        <w:ind w:leftChars="0" w:left="1777"/>
        <w:jc w:val="both"/>
        <w:rPr>
          <w:rFonts w:ascii="標楷體" w:eastAsia="標楷體" w:hAnsi="標楷體"/>
          <w:sz w:val="28"/>
        </w:rPr>
      </w:pPr>
      <w:r>
        <w:rPr>
          <w:rFonts w:ascii="標楷體" w:eastAsia="標楷體" w:hAnsi="標楷體" w:hint="eastAsia"/>
          <w:sz w:val="28"/>
        </w:rPr>
        <w:t>匯款排程制度</w:t>
      </w:r>
    </w:p>
    <w:p w14:paraId="703392DE" w14:textId="683BA980" w:rsidR="00A25F03" w:rsidRPr="00A25F03" w:rsidRDefault="00F951C8" w:rsidP="00D93AC1">
      <w:pPr>
        <w:pStyle w:val="a3"/>
        <w:numPr>
          <w:ilvl w:val="0"/>
          <w:numId w:val="4"/>
        </w:numPr>
        <w:spacing w:line="440" w:lineRule="exact"/>
        <w:ind w:leftChars="0" w:left="1777"/>
        <w:jc w:val="both"/>
        <w:rPr>
          <w:rFonts w:ascii="標楷體" w:eastAsia="標楷體" w:hAnsi="標楷體"/>
          <w:sz w:val="28"/>
        </w:rPr>
      </w:pPr>
      <w:r>
        <w:rPr>
          <w:rFonts w:ascii="標楷體" w:eastAsia="標楷體" w:hAnsi="標楷體" w:hint="eastAsia"/>
          <w:sz w:val="28"/>
        </w:rPr>
        <w:t>匯款</w:t>
      </w:r>
      <w:r w:rsidR="007F6E96">
        <w:rPr>
          <w:rFonts w:ascii="標楷體" w:eastAsia="標楷體" w:hAnsi="標楷體" w:hint="eastAsia"/>
          <w:sz w:val="28"/>
        </w:rPr>
        <w:t>作業</w:t>
      </w:r>
      <w:r>
        <w:rPr>
          <w:rFonts w:ascii="標楷體" w:eastAsia="標楷體" w:hAnsi="標楷體" w:hint="eastAsia"/>
          <w:sz w:val="28"/>
        </w:rPr>
        <w:t>及自動化</w:t>
      </w:r>
    </w:p>
    <w:p w14:paraId="1742D982" w14:textId="17197245" w:rsidR="005A0444" w:rsidRPr="005A0444" w:rsidRDefault="006D5E81" w:rsidP="00D93AC1">
      <w:pPr>
        <w:pStyle w:val="a3"/>
        <w:numPr>
          <w:ilvl w:val="0"/>
          <w:numId w:val="3"/>
        </w:numPr>
        <w:spacing w:line="440" w:lineRule="exact"/>
        <w:ind w:leftChars="250" w:left="1320"/>
        <w:jc w:val="both"/>
        <w:rPr>
          <w:rFonts w:ascii="標楷體" w:eastAsia="標楷體" w:hAnsi="標楷體"/>
          <w:sz w:val="28"/>
        </w:rPr>
      </w:pPr>
      <w:r w:rsidRPr="00401DAB">
        <w:rPr>
          <w:rFonts w:ascii="標楷體" w:eastAsia="標楷體" w:hAnsi="標楷體"/>
          <w:sz w:val="28"/>
        </w:rPr>
        <w:t>經費使用</w:t>
      </w:r>
      <w:r>
        <w:rPr>
          <w:rFonts w:ascii="標楷體" w:eastAsia="標楷體" w:hAnsi="標楷體" w:hint="eastAsia"/>
          <w:sz w:val="28"/>
        </w:rPr>
        <w:t>說明制度建置</w:t>
      </w:r>
      <w:r w:rsidR="005E0740">
        <w:rPr>
          <w:rFonts w:ascii="標楷體" w:eastAsia="標楷體" w:hAnsi="標楷體" w:hint="eastAsia"/>
          <w:sz w:val="28"/>
        </w:rPr>
        <w:t>或優化</w:t>
      </w:r>
    </w:p>
    <w:p w14:paraId="4B0872F6" w14:textId="1D142879" w:rsidR="005A0444" w:rsidRDefault="005A0444" w:rsidP="00D93AC1">
      <w:pPr>
        <w:pStyle w:val="a3"/>
        <w:numPr>
          <w:ilvl w:val="0"/>
          <w:numId w:val="5"/>
        </w:numPr>
        <w:spacing w:line="440" w:lineRule="exact"/>
        <w:ind w:leftChars="600" w:left="1800"/>
        <w:jc w:val="both"/>
        <w:rPr>
          <w:rFonts w:ascii="標楷體" w:eastAsia="標楷體" w:hAnsi="標楷體"/>
          <w:sz w:val="28"/>
        </w:rPr>
      </w:pPr>
      <w:r w:rsidRPr="005A0444">
        <w:rPr>
          <w:rFonts w:ascii="標楷體" w:eastAsia="標楷體" w:hAnsi="標楷體" w:hint="eastAsia"/>
          <w:sz w:val="28"/>
        </w:rPr>
        <w:t>建立</w:t>
      </w:r>
      <w:r w:rsidRPr="005A0444">
        <w:rPr>
          <w:rFonts w:ascii="標楷體" w:eastAsia="標楷體" w:hAnsi="標楷體"/>
          <w:sz w:val="28"/>
        </w:rPr>
        <w:t>經費用途與申請原則</w:t>
      </w:r>
    </w:p>
    <w:p w14:paraId="0AC4FB7B" w14:textId="5112D44F" w:rsidR="00243D84" w:rsidRPr="00C904DD" w:rsidRDefault="005E0740" w:rsidP="00D93AC1">
      <w:pPr>
        <w:pStyle w:val="a3"/>
        <w:numPr>
          <w:ilvl w:val="0"/>
          <w:numId w:val="5"/>
        </w:numPr>
        <w:spacing w:line="440" w:lineRule="exact"/>
        <w:ind w:leftChars="600" w:left="1800"/>
        <w:jc w:val="both"/>
        <w:rPr>
          <w:rFonts w:ascii="標楷體" w:eastAsia="標楷體" w:hAnsi="標楷體"/>
          <w:sz w:val="28"/>
        </w:rPr>
      </w:pPr>
      <w:r>
        <w:rPr>
          <w:rFonts w:ascii="標楷體" w:eastAsia="標楷體" w:hAnsi="標楷體" w:hint="eastAsia"/>
          <w:sz w:val="28"/>
        </w:rPr>
        <w:t>優化</w:t>
      </w:r>
      <w:r w:rsidR="00C904DD">
        <w:rPr>
          <w:rFonts w:ascii="標楷體" w:eastAsia="標楷體" w:hAnsi="標楷體" w:hint="eastAsia"/>
          <w:sz w:val="28"/>
        </w:rPr>
        <w:t>經費申請與核銷流程</w:t>
      </w:r>
    </w:p>
    <w:p w14:paraId="034DCF10" w14:textId="7D8915B2" w:rsidR="005A0444" w:rsidRDefault="00FE07D4" w:rsidP="00D93AC1">
      <w:pPr>
        <w:pStyle w:val="a3"/>
        <w:numPr>
          <w:ilvl w:val="0"/>
          <w:numId w:val="3"/>
        </w:numPr>
        <w:spacing w:line="440" w:lineRule="exact"/>
        <w:ind w:leftChars="250" w:left="1320"/>
        <w:jc w:val="both"/>
        <w:rPr>
          <w:rFonts w:ascii="標楷體" w:eastAsia="標楷體" w:hAnsi="標楷體"/>
          <w:sz w:val="28"/>
        </w:rPr>
      </w:pPr>
      <w:r>
        <w:rPr>
          <w:rFonts w:ascii="標楷體" w:eastAsia="標楷體" w:hAnsi="標楷體" w:hint="eastAsia"/>
          <w:sz w:val="28"/>
        </w:rPr>
        <w:t>建立或優化</w:t>
      </w:r>
      <w:r w:rsidR="00F668BA">
        <w:rPr>
          <w:rFonts w:ascii="標楷體" w:eastAsia="標楷體" w:hAnsi="標楷體" w:hint="eastAsia"/>
          <w:sz w:val="28"/>
        </w:rPr>
        <w:t>經費</w:t>
      </w:r>
      <w:r w:rsidR="007A0AB6">
        <w:rPr>
          <w:rFonts w:ascii="標楷體" w:eastAsia="標楷體" w:hAnsi="標楷體" w:hint="eastAsia"/>
          <w:sz w:val="28"/>
        </w:rPr>
        <w:t>管理權限制度</w:t>
      </w:r>
    </w:p>
    <w:p w14:paraId="048090E8" w14:textId="77777777" w:rsidR="00E73AD8" w:rsidRDefault="00E73AD8" w:rsidP="00E73AD8">
      <w:pPr>
        <w:pStyle w:val="a3"/>
        <w:numPr>
          <w:ilvl w:val="0"/>
          <w:numId w:val="14"/>
        </w:numPr>
        <w:spacing w:line="440" w:lineRule="exact"/>
        <w:ind w:leftChars="600" w:left="2160"/>
        <w:jc w:val="both"/>
        <w:rPr>
          <w:rFonts w:ascii="標楷體" w:eastAsia="標楷體" w:hAnsi="標楷體"/>
          <w:sz w:val="28"/>
        </w:rPr>
      </w:pPr>
      <w:r w:rsidRPr="00F668BA">
        <w:rPr>
          <w:rFonts w:ascii="標楷體" w:eastAsia="標楷體" w:hAnsi="標楷體"/>
          <w:sz w:val="28"/>
        </w:rPr>
        <w:t>經費</w:t>
      </w:r>
      <w:r>
        <w:rPr>
          <w:rFonts w:ascii="標楷體" w:eastAsia="標楷體" w:hAnsi="標楷體" w:hint="eastAsia"/>
          <w:sz w:val="28"/>
        </w:rPr>
        <w:t>權責對應原則</w:t>
      </w:r>
    </w:p>
    <w:p w14:paraId="5343C356" w14:textId="77777777" w:rsidR="00E73AD8" w:rsidRPr="005A0444" w:rsidRDefault="00E73AD8" w:rsidP="00E73AD8">
      <w:pPr>
        <w:pStyle w:val="a3"/>
        <w:numPr>
          <w:ilvl w:val="0"/>
          <w:numId w:val="14"/>
        </w:numPr>
        <w:spacing w:line="440" w:lineRule="exact"/>
        <w:ind w:leftChars="600" w:left="2160"/>
        <w:jc w:val="both"/>
        <w:rPr>
          <w:rFonts w:ascii="標楷體" w:eastAsia="標楷體" w:hAnsi="標楷體"/>
          <w:sz w:val="28"/>
        </w:rPr>
      </w:pPr>
      <w:r w:rsidRPr="00F668BA">
        <w:rPr>
          <w:rFonts w:ascii="標楷體" w:eastAsia="標楷體" w:hAnsi="標楷體"/>
          <w:sz w:val="28"/>
        </w:rPr>
        <w:t>經費審核分級制度</w:t>
      </w:r>
    </w:p>
    <w:p w14:paraId="69A996C7" w14:textId="77777777" w:rsidR="00E73AD8" w:rsidRDefault="00E73AD8" w:rsidP="00E73AD8">
      <w:pPr>
        <w:pStyle w:val="a3"/>
        <w:numPr>
          <w:ilvl w:val="0"/>
          <w:numId w:val="14"/>
        </w:numPr>
        <w:spacing w:line="440" w:lineRule="exact"/>
        <w:ind w:leftChars="600" w:left="2160"/>
        <w:jc w:val="both"/>
        <w:rPr>
          <w:rFonts w:ascii="標楷體" w:eastAsia="標楷體" w:hAnsi="標楷體"/>
          <w:sz w:val="28"/>
        </w:rPr>
      </w:pPr>
      <w:r>
        <w:rPr>
          <w:rFonts w:ascii="標楷體" w:eastAsia="標楷體" w:hAnsi="標楷體" w:hint="eastAsia"/>
          <w:sz w:val="28"/>
        </w:rPr>
        <w:t>授權代理控管機制</w:t>
      </w:r>
    </w:p>
    <w:p w14:paraId="37903F6C" w14:textId="5634C14A" w:rsidR="00C451C6" w:rsidRPr="00C451C6" w:rsidRDefault="009E7750" w:rsidP="00C451C6">
      <w:pPr>
        <w:pStyle w:val="a3"/>
        <w:numPr>
          <w:ilvl w:val="0"/>
          <w:numId w:val="3"/>
        </w:numPr>
        <w:spacing w:line="440" w:lineRule="exact"/>
        <w:ind w:leftChars="250" w:left="1320"/>
        <w:jc w:val="both"/>
        <w:rPr>
          <w:rFonts w:ascii="標楷體" w:eastAsia="標楷體" w:hAnsi="標楷體"/>
          <w:sz w:val="28"/>
        </w:rPr>
      </w:pPr>
      <w:r w:rsidRPr="009E7750">
        <w:rPr>
          <w:rFonts w:ascii="標楷體" w:eastAsia="標楷體" w:hAnsi="標楷體"/>
          <w:sz w:val="28"/>
        </w:rPr>
        <w:t>即時諮詢與教育訓練</w:t>
      </w:r>
    </w:p>
    <w:p w14:paraId="33DDF6CA" w14:textId="713D40D2" w:rsidR="00C451C6" w:rsidRPr="00170DD1" w:rsidRDefault="00FE6453" w:rsidP="00170DD1">
      <w:pPr>
        <w:pStyle w:val="a3"/>
        <w:numPr>
          <w:ilvl w:val="0"/>
          <w:numId w:val="17"/>
        </w:numPr>
        <w:spacing w:line="440" w:lineRule="exact"/>
        <w:ind w:leftChars="0"/>
        <w:jc w:val="both"/>
        <w:rPr>
          <w:rFonts w:ascii="標楷體" w:eastAsia="標楷體" w:hAnsi="標楷體"/>
          <w:sz w:val="28"/>
        </w:rPr>
      </w:pPr>
      <w:r w:rsidRPr="00FE6453">
        <w:rPr>
          <w:rFonts w:ascii="標楷體" w:eastAsia="標楷體" w:hAnsi="標楷體" w:hint="eastAsia"/>
          <w:sz w:val="28"/>
        </w:rPr>
        <w:lastRenderedPageBreak/>
        <w:t>提供日常作業及法規遵循之即時諮詢服務。</w:t>
      </w:r>
    </w:p>
    <w:p w14:paraId="65517414" w14:textId="6FEAB774" w:rsidR="00C451C6" w:rsidRPr="00170DD1" w:rsidRDefault="00FE6453" w:rsidP="00170DD1">
      <w:pPr>
        <w:pStyle w:val="a3"/>
        <w:numPr>
          <w:ilvl w:val="0"/>
          <w:numId w:val="17"/>
        </w:numPr>
        <w:spacing w:line="440" w:lineRule="exact"/>
        <w:ind w:leftChars="600"/>
        <w:jc w:val="both"/>
        <w:rPr>
          <w:rFonts w:ascii="標楷體" w:eastAsia="標楷體" w:hAnsi="標楷體"/>
          <w:sz w:val="28"/>
        </w:rPr>
      </w:pPr>
      <w:r w:rsidRPr="00FE6453">
        <w:rPr>
          <w:rFonts w:ascii="標楷體" w:eastAsia="標楷體" w:hAnsi="標楷體" w:hint="eastAsia"/>
          <w:sz w:val="28"/>
        </w:rPr>
        <w:t>協助就評鑑與稽核所提意見，擬具改善方案建議。</w:t>
      </w:r>
    </w:p>
    <w:p w14:paraId="05D1C8CD" w14:textId="733E4CD7" w:rsidR="00C451C6" w:rsidRPr="00170DD1" w:rsidRDefault="00016612" w:rsidP="00170DD1">
      <w:pPr>
        <w:pStyle w:val="a3"/>
        <w:numPr>
          <w:ilvl w:val="0"/>
          <w:numId w:val="17"/>
        </w:numPr>
        <w:spacing w:line="440" w:lineRule="exact"/>
        <w:ind w:leftChars="600"/>
        <w:jc w:val="both"/>
        <w:rPr>
          <w:rFonts w:ascii="標楷體" w:eastAsia="標楷體" w:hAnsi="標楷體"/>
          <w:sz w:val="28"/>
        </w:rPr>
      </w:pPr>
      <w:r>
        <w:rPr>
          <w:rFonts w:ascii="標楷體" w:eastAsia="標楷體" w:hAnsi="標楷體" w:hint="eastAsia"/>
          <w:sz w:val="28"/>
        </w:rPr>
        <w:t>協助總會</w:t>
      </w:r>
      <w:r w:rsidR="008D3615" w:rsidRPr="008D3615">
        <w:rPr>
          <w:rFonts w:ascii="標楷體" w:eastAsia="標楷體" w:hAnsi="標楷體" w:hint="eastAsia"/>
          <w:sz w:val="28"/>
        </w:rPr>
        <w:t>辦理</w:t>
      </w:r>
      <w:r w:rsidR="008D3615">
        <w:rPr>
          <w:rFonts w:ascii="標楷體" w:eastAsia="標楷體" w:hAnsi="標楷體" w:hint="eastAsia"/>
          <w:sz w:val="28"/>
        </w:rPr>
        <w:t>線上</w:t>
      </w:r>
      <w:r w:rsidR="009A3599">
        <w:rPr>
          <w:rFonts w:ascii="標楷體" w:eastAsia="標楷體" w:hAnsi="標楷體" w:hint="eastAsia"/>
          <w:sz w:val="28"/>
        </w:rPr>
        <w:t>與實體</w:t>
      </w:r>
      <w:r w:rsidR="00BD62E5">
        <w:rPr>
          <w:rFonts w:ascii="標楷體" w:eastAsia="標楷體" w:hAnsi="標楷體" w:hint="eastAsia"/>
          <w:sz w:val="28"/>
        </w:rPr>
        <w:t>的</w:t>
      </w:r>
      <w:r w:rsidR="008D3615" w:rsidRPr="008D3615">
        <w:rPr>
          <w:rFonts w:ascii="標楷體" w:eastAsia="標楷體" w:hAnsi="標楷體" w:hint="eastAsia"/>
          <w:sz w:val="28"/>
        </w:rPr>
        <w:t>教育訓練。</w:t>
      </w:r>
    </w:p>
    <w:p w14:paraId="1B997BC9" w14:textId="77777777" w:rsidR="00A25F03" w:rsidRPr="00A25F03" w:rsidRDefault="00A25F03" w:rsidP="00D93AC1">
      <w:pPr>
        <w:pStyle w:val="a3"/>
        <w:numPr>
          <w:ilvl w:val="0"/>
          <w:numId w:val="1"/>
        </w:numPr>
        <w:spacing w:beforeLines="50" w:before="180" w:line="440" w:lineRule="exact"/>
        <w:ind w:leftChars="0"/>
        <w:jc w:val="both"/>
        <w:rPr>
          <w:rFonts w:ascii="標楷體" w:eastAsia="標楷體" w:hAnsi="標楷體"/>
          <w:sz w:val="28"/>
        </w:rPr>
      </w:pPr>
      <w:r w:rsidRPr="00A25F03">
        <w:rPr>
          <w:rFonts w:ascii="標楷體" w:eastAsia="標楷體" w:hAnsi="標楷體" w:hint="eastAsia"/>
          <w:sz w:val="28"/>
        </w:rPr>
        <w:t>履約期程與注意事項</w:t>
      </w:r>
    </w:p>
    <w:p w14:paraId="6A2E9DD1" w14:textId="77777777" w:rsidR="00A25F03" w:rsidRPr="00A25F03" w:rsidRDefault="00A25F03" w:rsidP="00D93AC1">
      <w:pPr>
        <w:pStyle w:val="a3"/>
        <w:numPr>
          <w:ilvl w:val="0"/>
          <w:numId w:val="8"/>
        </w:numPr>
        <w:spacing w:beforeLines="50" w:before="180" w:line="440" w:lineRule="exact"/>
        <w:ind w:leftChars="250" w:left="1320"/>
        <w:jc w:val="both"/>
        <w:rPr>
          <w:rFonts w:ascii="標楷體" w:eastAsia="標楷體" w:hAnsi="標楷體"/>
          <w:sz w:val="28"/>
        </w:rPr>
      </w:pPr>
      <w:r w:rsidRPr="00A25F03">
        <w:rPr>
          <w:rFonts w:ascii="標楷體" w:eastAsia="標楷體" w:hAnsi="標楷體" w:hint="eastAsia"/>
          <w:sz w:val="28"/>
        </w:rPr>
        <w:t>履約期間</w:t>
      </w:r>
    </w:p>
    <w:p w14:paraId="196945ED" w14:textId="77777777" w:rsidR="00A25F03" w:rsidRPr="00D93AC1" w:rsidRDefault="00A25F03" w:rsidP="00D93AC1">
      <w:pPr>
        <w:spacing w:line="440" w:lineRule="exact"/>
        <w:ind w:leftChars="600" w:left="1440"/>
        <w:jc w:val="both"/>
        <w:rPr>
          <w:rFonts w:ascii="標楷體" w:eastAsia="標楷體" w:hAnsi="標楷體"/>
          <w:sz w:val="28"/>
        </w:rPr>
      </w:pPr>
      <w:r w:rsidRPr="00D93AC1">
        <w:rPr>
          <w:rFonts w:ascii="標楷體" w:eastAsia="標楷體" w:hAnsi="標楷體" w:hint="eastAsia"/>
          <w:sz w:val="28"/>
        </w:rPr>
        <w:t>本案履約期程預定自簽約日起計，為期一年（12個月），實際起迄日依簽約文件為準。倘履約成效良好，得依採購法相關規定續約或辦理後續招標。</w:t>
      </w:r>
    </w:p>
    <w:p w14:paraId="76AC5742" w14:textId="77777777" w:rsidR="00A25F03" w:rsidRPr="00A25F03" w:rsidRDefault="00A25F03" w:rsidP="00D93AC1">
      <w:pPr>
        <w:pStyle w:val="a3"/>
        <w:numPr>
          <w:ilvl w:val="0"/>
          <w:numId w:val="8"/>
        </w:numPr>
        <w:spacing w:beforeLines="50" w:before="180" w:line="440" w:lineRule="exact"/>
        <w:ind w:leftChars="250" w:left="600" w:firstLine="0"/>
        <w:jc w:val="both"/>
        <w:rPr>
          <w:rFonts w:ascii="標楷體" w:eastAsia="標楷體" w:hAnsi="標楷體"/>
          <w:sz w:val="28"/>
        </w:rPr>
      </w:pPr>
      <w:r w:rsidRPr="00A25F03">
        <w:rPr>
          <w:rFonts w:ascii="標楷體" w:eastAsia="標楷體" w:hAnsi="標楷體" w:hint="eastAsia"/>
          <w:sz w:val="28"/>
        </w:rPr>
        <w:t>進度報告與成效評估</w:t>
      </w:r>
    </w:p>
    <w:p w14:paraId="4C9C67BA" w14:textId="77777777" w:rsidR="00A25F03" w:rsidRPr="00D93AC1" w:rsidRDefault="00A25F03" w:rsidP="00D93AC1">
      <w:pPr>
        <w:spacing w:line="440" w:lineRule="exact"/>
        <w:ind w:leftChars="600" w:left="1440"/>
        <w:jc w:val="both"/>
        <w:rPr>
          <w:rFonts w:ascii="標楷體" w:eastAsia="標楷體" w:hAnsi="標楷體"/>
          <w:sz w:val="28"/>
        </w:rPr>
      </w:pPr>
      <w:r w:rsidRPr="00D93AC1">
        <w:rPr>
          <w:rFonts w:ascii="標楷體" w:eastAsia="標楷體" w:hAnsi="標楷體" w:hint="eastAsia"/>
          <w:sz w:val="28"/>
        </w:rPr>
        <w:t>顧問須每季提交一次執行進度報告，內容應含服務內容摘要、執行成效與後續建議。履約期間屆滿前一個月，須提交最終成果報告，內含全案服務分析、改善建議與制度建置成果。</w:t>
      </w:r>
    </w:p>
    <w:p w14:paraId="27442203" w14:textId="77777777" w:rsidR="00A25F03" w:rsidRPr="00A25F03" w:rsidRDefault="00A25F03" w:rsidP="00D93AC1">
      <w:pPr>
        <w:pStyle w:val="a3"/>
        <w:numPr>
          <w:ilvl w:val="0"/>
          <w:numId w:val="8"/>
        </w:numPr>
        <w:spacing w:beforeLines="50" w:before="180" w:line="440" w:lineRule="exact"/>
        <w:ind w:leftChars="250" w:left="1320"/>
        <w:jc w:val="both"/>
        <w:rPr>
          <w:rFonts w:ascii="標楷體" w:eastAsia="標楷體" w:hAnsi="標楷體"/>
          <w:sz w:val="28"/>
        </w:rPr>
      </w:pPr>
      <w:r w:rsidRPr="00A25F03">
        <w:rPr>
          <w:rFonts w:ascii="標楷體" w:eastAsia="標楷體" w:hAnsi="標楷體" w:hint="eastAsia"/>
          <w:sz w:val="28"/>
        </w:rPr>
        <w:t>保密與資料保存</w:t>
      </w:r>
    </w:p>
    <w:p w14:paraId="7BD9A5F4" w14:textId="77777777" w:rsidR="00A25F03" w:rsidRPr="00D93AC1" w:rsidRDefault="00A25F03" w:rsidP="00D93AC1">
      <w:pPr>
        <w:spacing w:line="440" w:lineRule="exact"/>
        <w:ind w:leftChars="600" w:left="1440"/>
        <w:jc w:val="both"/>
        <w:rPr>
          <w:rFonts w:ascii="標楷體" w:eastAsia="標楷體" w:hAnsi="標楷體"/>
          <w:sz w:val="28"/>
        </w:rPr>
      </w:pPr>
      <w:r w:rsidRPr="00D93AC1">
        <w:rPr>
          <w:rFonts w:ascii="標楷體" w:eastAsia="標楷體" w:hAnsi="標楷體" w:hint="eastAsia"/>
          <w:sz w:val="28"/>
        </w:rPr>
        <w:t>顧問單位應遵守資料保密義務，所有協會內部人事資料及履約中取得之資訊，均不得對外公開或另作他用。相關文件應保存至少三年，並供本會查核。</w:t>
      </w:r>
    </w:p>
    <w:p w14:paraId="67C06BD0" w14:textId="77777777" w:rsidR="00A25F03" w:rsidRPr="00A25F03" w:rsidRDefault="00A25F03" w:rsidP="00D93AC1">
      <w:pPr>
        <w:pStyle w:val="a3"/>
        <w:numPr>
          <w:ilvl w:val="0"/>
          <w:numId w:val="1"/>
        </w:numPr>
        <w:spacing w:beforeLines="50" w:before="180" w:line="440" w:lineRule="exact"/>
        <w:ind w:leftChars="0"/>
        <w:jc w:val="both"/>
        <w:rPr>
          <w:rFonts w:ascii="標楷體" w:eastAsia="標楷體" w:hAnsi="標楷體"/>
          <w:sz w:val="28"/>
        </w:rPr>
      </w:pPr>
      <w:r w:rsidRPr="00A25F03">
        <w:rPr>
          <w:rFonts w:ascii="標楷體" w:eastAsia="標楷體" w:hAnsi="標楷體" w:hint="eastAsia"/>
          <w:sz w:val="28"/>
        </w:rPr>
        <w:t>付款方式</w:t>
      </w:r>
    </w:p>
    <w:p w14:paraId="5BF4F33C" w14:textId="77777777" w:rsidR="00A25F03" w:rsidRPr="00A25F03" w:rsidRDefault="00A25F03" w:rsidP="00D93AC1">
      <w:pPr>
        <w:pStyle w:val="a3"/>
        <w:numPr>
          <w:ilvl w:val="0"/>
          <w:numId w:val="9"/>
        </w:numPr>
        <w:spacing w:beforeLines="50" w:before="180" w:afterLines="50" w:after="180" w:line="440" w:lineRule="exact"/>
        <w:ind w:leftChars="250" w:left="1320"/>
        <w:jc w:val="both"/>
        <w:rPr>
          <w:rFonts w:ascii="標楷體" w:eastAsia="標楷體" w:hAnsi="標楷體"/>
          <w:sz w:val="28"/>
        </w:rPr>
      </w:pPr>
      <w:r w:rsidRPr="00A25F03">
        <w:rPr>
          <w:rFonts w:ascii="標楷體" w:eastAsia="標楷體" w:hAnsi="標楷體" w:hint="eastAsia"/>
          <w:sz w:val="28"/>
        </w:rPr>
        <w:t>付款分期辦理</w:t>
      </w:r>
    </w:p>
    <w:tbl>
      <w:tblPr>
        <w:tblStyle w:val="a4"/>
        <w:tblW w:w="8107" w:type="dxa"/>
        <w:tblInd w:w="835" w:type="dxa"/>
        <w:tblLook w:val="04A0" w:firstRow="1" w:lastRow="0" w:firstColumn="1" w:lastColumn="0" w:noHBand="0" w:noVBand="1"/>
      </w:tblPr>
      <w:tblGrid>
        <w:gridCol w:w="1538"/>
        <w:gridCol w:w="1070"/>
        <w:gridCol w:w="5499"/>
      </w:tblGrid>
      <w:tr w:rsidR="00A25F03" w:rsidRPr="00A25F03" w14:paraId="43EECAD9" w14:textId="77777777" w:rsidTr="00F54FD3">
        <w:trPr>
          <w:trHeight w:val="705"/>
        </w:trPr>
        <w:tc>
          <w:tcPr>
            <w:tcW w:w="1538" w:type="dxa"/>
            <w:vAlign w:val="center"/>
          </w:tcPr>
          <w:p w14:paraId="5F243B7B" w14:textId="434170DF" w:rsidR="00A25F03" w:rsidRPr="00A25F03" w:rsidRDefault="00D93AC1" w:rsidP="00D93AC1">
            <w:pPr>
              <w:jc w:val="center"/>
              <w:rPr>
                <w:rFonts w:ascii="標楷體" w:eastAsia="標楷體" w:hAnsi="標楷體"/>
                <w:sz w:val="28"/>
              </w:rPr>
            </w:pPr>
            <w:r w:rsidRPr="00A25F03">
              <w:rPr>
                <w:rFonts w:ascii="標楷體" w:eastAsia="標楷體" w:hAnsi="標楷體"/>
                <w:sz w:val="28"/>
              </w:rPr>
              <w:t>付款</w:t>
            </w:r>
            <w:r w:rsidR="00A25F03" w:rsidRPr="00A25F03">
              <w:rPr>
                <w:rFonts w:ascii="標楷體" w:eastAsia="標楷體" w:hAnsi="標楷體"/>
                <w:sz w:val="28"/>
              </w:rPr>
              <w:t>階段</w:t>
            </w:r>
          </w:p>
        </w:tc>
        <w:tc>
          <w:tcPr>
            <w:tcW w:w="1070" w:type="dxa"/>
            <w:vAlign w:val="center"/>
          </w:tcPr>
          <w:p w14:paraId="1DD296E1" w14:textId="77777777" w:rsidR="00D93AC1" w:rsidRDefault="00A25F03" w:rsidP="00D93AC1">
            <w:pPr>
              <w:spacing w:line="0" w:lineRule="atLeast"/>
              <w:jc w:val="center"/>
              <w:rPr>
                <w:rFonts w:ascii="標楷體" w:eastAsia="標楷體" w:hAnsi="標楷體"/>
                <w:sz w:val="28"/>
              </w:rPr>
            </w:pPr>
            <w:r w:rsidRPr="00A25F03">
              <w:rPr>
                <w:rFonts w:ascii="標楷體" w:eastAsia="標楷體" w:hAnsi="標楷體"/>
                <w:sz w:val="28"/>
              </w:rPr>
              <w:t>付款</w:t>
            </w:r>
          </w:p>
          <w:p w14:paraId="0C0AD31A" w14:textId="0CF7E9D7" w:rsidR="00A25F03" w:rsidRPr="00A25F03" w:rsidRDefault="00A25F03" w:rsidP="00D93AC1">
            <w:pPr>
              <w:spacing w:line="0" w:lineRule="atLeast"/>
              <w:jc w:val="center"/>
              <w:rPr>
                <w:rFonts w:ascii="標楷體" w:eastAsia="標楷體" w:hAnsi="標楷體"/>
                <w:sz w:val="28"/>
              </w:rPr>
            </w:pPr>
            <w:r w:rsidRPr="00A25F03">
              <w:rPr>
                <w:rFonts w:ascii="標楷體" w:eastAsia="標楷體" w:hAnsi="標楷體"/>
                <w:sz w:val="28"/>
              </w:rPr>
              <w:t>比例</w:t>
            </w:r>
          </w:p>
        </w:tc>
        <w:tc>
          <w:tcPr>
            <w:tcW w:w="5499" w:type="dxa"/>
            <w:vAlign w:val="center"/>
          </w:tcPr>
          <w:p w14:paraId="165131C3" w14:textId="3515AB23" w:rsidR="00A25F03" w:rsidRPr="00A25F03" w:rsidRDefault="00A25F03" w:rsidP="00D93AC1">
            <w:pPr>
              <w:jc w:val="center"/>
              <w:rPr>
                <w:rFonts w:ascii="標楷體" w:eastAsia="標楷體" w:hAnsi="標楷體"/>
                <w:sz w:val="28"/>
              </w:rPr>
            </w:pPr>
            <w:r w:rsidRPr="00A25F03">
              <w:rPr>
                <w:rFonts w:ascii="標楷體" w:eastAsia="標楷體" w:hAnsi="標楷體"/>
                <w:sz w:val="28"/>
              </w:rPr>
              <w:t>說</w:t>
            </w:r>
            <w:r w:rsidR="00D93AC1">
              <w:rPr>
                <w:rFonts w:ascii="標楷體" w:eastAsia="標楷體" w:hAnsi="標楷體" w:hint="eastAsia"/>
                <w:sz w:val="28"/>
              </w:rPr>
              <w:t xml:space="preserve">         </w:t>
            </w:r>
            <w:r w:rsidRPr="00A25F03">
              <w:rPr>
                <w:rFonts w:ascii="標楷體" w:eastAsia="標楷體" w:hAnsi="標楷體"/>
                <w:sz w:val="28"/>
              </w:rPr>
              <w:t>明</w:t>
            </w:r>
          </w:p>
        </w:tc>
      </w:tr>
      <w:tr w:rsidR="00A25F03" w:rsidRPr="00A25F03" w14:paraId="1C6E0D2D" w14:textId="77777777" w:rsidTr="00F54FD3">
        <w:trPr>
          <w:trHeight w:val="705"/>
        </w:trPr>
        <w:tc>
          <w:tcPr>
            <w:tcW w:w="1538" w:type="dxa"/>
            <w:vAlign w:val="center"/>
          </w:tcPr>
          <w:p w14:paraId="3AE8CBD6" w14:textId="2E3F08CD" w:rsidR="00A25F03" w:rsidRPr="00A25F03" w:rsidRDefault="00A25F03" w:rsidP="00D93AC1">
            <w:pPr>
              <w:jc w:val="center"/>
              <w:rPr>
                <w:rFonts w:ascii="標楷體" w:eastAsia="標楷體" w:hAnsi="標楷體"/>
                <w:sz w:val="28"/>
              </w:rPr>
            </w:pPr>
            <w:r w:rsidRPr="00A25F03">
              <w:rPr>
                <w:rFonts w:ascii="標楷體" w:eastAsia="標楷體" w:hAnsi="標楷體"/>
                <w:sz w:val="28"/>
              </w:rPr>
              <w:t>第一次</w:t>
            </w:r>
          </w:p>
        </w:tc>
        <w:tc>
          <w:tcPr>
            <w:tcW w:w="1070" w:type="dxa"/>
            <w:vAlign w:val="center"/>
          </w:tcPr>
          <w:p w14:paraId="0FE0A4E4" w14:textId="77777777" w:rsidR="00A25F03" w:rsidRPr="00A25F03" w:rsidRDefault="00A25F03" w:rsidP="00D93AC1">
            <w:pPr>
              <w:jc w:val="center"/>
              <w:rPr>
                <w:rFonts w:ascii="標楷體" w:eastAsia="標楷體" w:hAnsi="標楷體"/>
                <w:sz w:val="28"/>
              </w:rPr>
            </w:pPr>
            <w:r w:rsidRPr="00A25F03">
              <w:rPr>
                <w:rFonts w:ascii="標楷體" w:eastAsia="標楷體" w:hAnsi="標楷體"/>
                <w:sz w:val="28"/>
              </w:rPr>
              <w:t>30%</w:t>
            </w:r>
          </w:p>
        </w:tc>
        <w:tc>
          <w:tcPr>
            <w:tcW w:w="5499" w:type="dxa"/>
            <w:vAlign w:val="center"/>
          </w:tcPr>
          <w:p w14:paraId="382271A1" w14:textId="77777777" w:rsidR="00A25F03" w:rsidRPr="00A25F03" w:rsidRDefault="00A25F03" w:rsidP="00D93AC1">
            <w:pPr>
              <w:spacing w:line="0" w:lineRule="atLeast"/>
              <w:jc w:val="both"/>
              <w:rPr>
                <w:rFonts w:ascii="標楷體" w:eastAsia="標楷體" w:hAnsi="標楷體"/>
                <w:sz w:val="28"/>
              </w:rPr>
            </w:pPr>
            <w:r w:rsidRPr="00A25F03">
              <w:rPr>
                <w:rFonts w:ascii="標楷體" w:eastAsia="標楷體" w:hAnsi="標楷體"/>
                <w:sz w:val="28"/>
              </w:rPr>
              <w:t>簽約並完成初步制度評估與諮詢規劃</w:t>
            </w:r>
          </w:p>
        </w:tc>
      </w:tr>
      <w:tr w:rsidR="00A25F03" w:rsidRPr="00A25F03" w14:paraId="149CB510" w14:textId="77777777" w:rsidTr="00F54FD3">
        <w:trPr>
          <w:trHeight w:val="705"/>
        </w:trPr>
        <w:tc>
          <w:tcPr>
            <w:tcW w:w="1538" w:type="dxa"/>
            <w:vAlign w:val="center"/>
          </w:tcPr>
          <w:p w14:paraId="44FC291A" w14:textId="06928777" w:rsidR="00A25F03" w:rsidRPr="00A25F03" w:rsidRDefault="00A25F03" w:rsidP="00D93AC1">
            <w:pPr>
              <w:jc w:val="center"/>
              <w:rPr>
                <w:rFonts w:ascii="標楷體" w:eastAsia="標楷體" w:hAnsi="標楷體"/>
                <w:sz w:val="28"/>
              </w:rPr>
            </w:pPr>
            <w:r w:rsidRPr="00A25F03">
              <w:rPr>
                <w:rFonts w:ascii="標楷體" w:eastAsia="標楷體" w:hAnsi="標楷體"/>
                <w:sz w:val="28"/>
              </w:rPr>
              <w:t>第二次</w:t>
            </w:r>
          </w:p>
        </w:tc>
        <w:tc>
          <w:tcPr>
            <w:tcW w:w="1070" w:type="dxa"/>
            <w:vAlign w:val="center"/>
          </w:tcPr>
          <w:p w14:paraId="18C1954D" w14:textId="77777777" w:rsidR="00A25F03" w:rsidRPr="00A25F03" w:rsidRDefault="00A25F03" w:rsidP="00D93AC1">
            <w:pPr>
              <w:jc w:val="center"/>
              <w:rPr>
                <w:rFonts w:ascii="標楷體" w:eastAsia="標楷體" w:hAnsi="標楷體"/>
                <w:sz w:val="28"/>
              </w:rPr>
            </w:pPr>
            <w:r w:rsidRPr="00A25F03">
              <w:rPr>
                <w:rFonts w:ascii="標楷體" w:eastAsia="標楷體" w:hAnsi="標楷體"/>
                <w:sz w:val="28"/>
              </w:rPr>
              <w:t>30%</w:t>
            </w:r>
          </w:p>
        </w:tc>
        <w:tc>
          <w:tcPr>
            <w:tcW w:w="5499" w:type="dxa"/>
            <w:vAlign w:val="center"/>
          </w:tcPr>
          <w:p w14:paraId="5589700E" w14:textId="77777777" w:rsidR="00A25F03" w:rsidRPr="00A25F03" w:rsidRDefault="00A25F03" w:rsidP="00D93AC1">
            <w:pPr>
              <w:spacing w:line="0" w:lineRule="atLeast"/>
              <w:jc w:val="both"/>
              <w:rPr>
                <w:rFonts w:ascii="標楷體" w:eastAsia="標楷體" w:hAnsi="標楷體"/>
                <w:sz w:val="28"/>
              </w:rPr>
            </w:pPr>
            <w:r w:rsidRPr="00A25F03">
              <w:rPr>
                <w:rFonts w:ascii="標楷體" w:eastAsia="標楷體" w:hAnsi="標楷體"/>
                <w:sz w:val="28"/>
              </w:rPr>
              <w:t>完成期中制度建置成果、提供中期報告</w:t>
            </w:r>
          </w:p>
        </w:tc>
      </w:tr>
      <w:tr w:rsidR="00A25F03" w:rsidRPr="00A25F03" w14:paraId="49EE447C" w14:textId="77777777" w:rsidTr="00F54FD3">
        <w:trPr>
          <w:trHeight w:val="690"/>
        </w:trPr>
        <w:tc>
          <w:tcPr>
            <w:tcW w:w="1538" w:type="dxa"/>
            <w:vAlign w:val="center"/>
          </w:tcPr>
          <w:p w14:paraId="5ADAD079" w14:textId="0FD55985" w:rsidR="00A25F03" w:rsidRPr="00A25F03" w:rsidRDefault="00A25F03" w:rsidP="00D93AC1">
            <w:pPr>
              <w:jc w:val="center"/>
              <w:rPr>
                <w:rFonts w:ascii="標楷體" w:eastAsia="標楷體" w:hAnsi="標楷體"/>
                <w:sz w:val="28"/>
              </w:rPr>
            </w:pPr>
            <w:r w:rsidRPr="00A25F03">
              <w:rPr>
                <w:rFonts w:ascii="標楷體" w:eastAsia="標楷體" w:hAnsi="標楷體"/>
                <w:sz w:val="28"/>
              </w:rPr>
              <w:t>第三次</w:t>
            </w:r>
          </w:p>
        </w:tc>
        <w:tc>
          <w:tcPr>
            <w:tcW w:w="1070" w:type="dxa"/>
            <w:vAlign w:val="center"/>
          </w:tcPr>
          <w:p w14:paraId="177C8B80" w14:textId="77777777" w:rsidR="00A25F03" w:rsidRPr="00A25F03" w:rsidRDefault="00A25F03" w:rsidP="00D93AC1">
            <w:pPr>
              <w:jc w:val="center"/>
              <w:rPr>
                <w:rFonts w:ascii="標楷體" w:eastAsia="標楷體" w:hAnsi="標楷體"/>
                <w:sz w:val="28"/>
              </w:rPr>
            </w:pPr>
            <w:r w:rsidRPr="00A25F03">
              <w:rPr>
                <w:rFonts w:ascii="標楷體" w:eastAsia="標楷體" w:hAnsi="標楷體"/>
                <w:sz w:val="28"/>
              </w:rPr>
              <w:t>40%</w:t>
            </w:r>
          </w:p>
        </w:tc>
        <w:tc>
          <w:tcPr>
            <w:tcW w:w="5499" w:type="dxa"/>
            <w:vAlign w:val="center"/>
          </w:tcPr>
          <w:p w14:paraId="2000634D" w14:textId="77777777" w:rsidR="00A25F03" w:rsidRPr="00A25F03" w:rsidRDefault="00A25F03" w:rsidP="00D93AC1">
            <w:pPr>
              <w:spacing w:line="0" w:lineRule="atLeast"/>
              <w:jc w:val="both"/>
              <w:rPr>
                <w:rFonts w:ascii="標楷體" w:eastAsia="標楷體" w:hAnsi="標楷體"/>
                <w:sz w:val="28"/>
              </w:rPr>
            </w:pPr>
            <w:r w:rsidRPr="00A25F03">
              <w:rPr>
                <w:rFonts w:ascii="標楷體" w:eastAsia="標楷體" w:hAnsi="標楷體"/>
                <w:sz w:val="28"/>
              </w:rPr>
              <w:t>全案履約結束，經審核通過最終報告後撥付</w:t>
            </w:r>
          </w:p>
        </w:tc>
      </w:tr>
    </w:tbl>
    <w:p w14:paraId="54C615C6" w14:textId="0AA030DF" w:rsidR="00A25F03" w:rsidRPr="00A25F03" w:rsidRDefault="00A25F03" w:rsidP="00D93AC1">
      <w:pPr>
        <w:pStyle w:val="a3"/>
        <w:numPr>
          <w:ilvl w:val="0"/>
          <w:numId w:val="9"/>
        </w:numPr>
        <w:spacing w:beforeLines="50" w:before="180" w:line="440" w:lineRule="exact"/>
        <w:ind w:leftChars="250" w:left="1320"/>
        <w:jc w:val="both"/>
        <w:rPr>
          <w:rFonts w:ascii="標楷體" w:eastAsia="標楷體" w:hAnsi="標楷體"/>
          <w:sz w:val="28"/>
        </w:rPr>
      </w:pPr>
      <w:r w:rsidRPr="00A25F03">
        <w:rPr>
          <w:rFonts w:ascii="標楷體" w:eastAsia="標楷體" w:hAnsi="標楷體" w:hint="eastAsia"/>
          <w:sz w:val="28"/>
        </w:rPr>
        <w:t>付款核銷</w:t>
      </w:r>
    </w:p>
    <w:p w14:paraId="4E3E26C5" w14:textId="2B20E8DF" w:rsidR="00A25F03" w:rsidRPr="00D93AC1" w:rsidRDefault="00A25F03" w:rsidP="00D93AC1">
      <w:pPr>
        <w:spacing w:line="440" w:lineRule="exact"/>
        <w:ind w:leftChars="600" w:left="1440"/>
        <w:jc w:val="both"/>
        <w:rPr>
          <w:rFonts w:ascii="標楷體" w:eastAsia="標楷體" w:hAnsi="標楷體"/>
          <w:sz w:val="28"/>
        </w:rPr>
      </w:pPr>
      <w:r w:rsidRPr="00D93AC1">
        <w:rPr>
          <w:rFonts w:ascii="標楷體" w:eastAsia="標楷體" w:hAnsi="標楷體" w:hint="eastAsia"/>
          <w:sz w:val="28"/>
        </w:rPr>
        <w:t>顧問單位應依約提供合法</w:t>
      </w:r>
      <w:r w:rsidR="002C23EB" w:rsidRPr="00D93AC1">
        <w:rPr>
          <w:rFonts w:ascii="標楷體" w:eastAsia="標楷體" w:hAnsi="標楷體" w:hint="eastAsia"/>
          <w:sz w:val="28"/>
        </w:rPr>
        <w:t>收據</w:t>
      </w:r>
      <w:r w:rsidRPr="00D93AC1">
        <w:rPr>
          <w:rFonts w:ascii="標楷體" w:eastAsia="標楷體" w:hAnsi="標楷體" w:hint="eastAsia"/>
          <w:sz w:val="28"/>
        </w:rPr>
        <w:t>，並依本會核准之付款時程及文件，辦理對帳與請款手續，款項將以匯款方式撥付至指定帳戶。</w:t>
      </w:r>
    </w:p>
    <w:sectPr w:rsidR="00A25F03" w:rsidRPr="00D93AC1">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2D3F78" w14:textId="77777777" w:rsidR="004138B5" w:rsidRDefault="004138B5" w:rsidP="00D93AC1">
      <w:r>
        <w:separator/>
      </w:r>
    </w:p>
  </w:endnote>
  <w:endnote w:type="continuationSeparator" w:id="0">
    <w:p w14:paraId="0976F1D2" w14:textId="77777777" w:rsidR="004138B5" w:rsidRDefault="004138B5" w:rsidP="00D93A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A52E9" w14:textId="77777777" w:rsidR="004138B5" w:rsidRDefault="004138B5" w:rsidP="00D93AC1">
      <w:r>
        <w:separator/>
      </w:r>
    </w:p>
  </w:footnote>
  <w:footnote w:type="continuationSeparator" w:id="0">
    <w:p w14:paraId="73C752A5" w14:textId="77777777" w:rsidR="004138B5" w:rsidRDefault="004138B5" w:rsidP="00D93A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C5A3B"/>
    <w:multiLevelType w:val="hybridMultilevel"/>
    <w:tmpl w:val="94646B04"/>
    <w:lvl w:ilvl="0" w:tplc="1D42D7C4">
      <w:start w:val="1"/>
      <w:numFmt w:val="decimal"/>
      <w:suff w:val="nothing"/>
      <w:lvlText w:val="（%1）"/>
      <w:lvlJc w:val="left"/>
      <w:pPr>
        <w:ind w:left="72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04C70758"/>
    <w:multiLevelType w:val="hybridMultilevel"/>
    <w:tmpl w:val="563E1768"/>
    <w:lvl w:ilvl="0" w:tplc="ED56A062">
      <w:start w:val="1"/>
      <w:numFmt w:val="decimal"/>
      <w:suff w:val="nothing"/>
      <w:lvlText w:val="%1."/>
      <w:lvlJc w:val="left"/>
      <w:pPr>
        <w:ind w:left="1560" w:hanging="360"/>
      </w:pPr>
      <w:rPr>
        <w:rFonts w:hint="default"/>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2" w15:restartNumberingAfterBreak="0">
    <w:nsid w:val="09F102B6"/>
    <w:multiLevelType w:val="hybridMultilevel"/>
    <w:tmpl w:val="9C7A710C"/>
    <w:lvl w:ilvl="0" w:tplc="FF2E4A3E">
      <w:start w:val="1"/>
      <w:numFmt w:val="decimal"/>
      <w:lvlText w:val="%1."/>
      <w:lvlJc w:val="left"/>
      <w:pPr>
        <w:ind w:left="1560" w:hanging="360"/>
      </w:pPr>
      <w:rPr>
        <w:rFonts w:hint="default"/>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3" w15:restartNumberingAfterBreak="0">
    <w:nsid w:val="123359F6"/>
    <w:multiLevelType w:val="hybridMultilevel"/>
    <w:tmpl w:val="23A61638"/>
    <w:lvl w:ilvl="0" w:tplc="FFFFFFFF">
      <w:start w:val="1"/>
      <w:numFmt w:val="decimal"/>
      <w:suff w:val="nothing"/>
      <w:lvlText w:val="%1."/>
      <w:lvlJc w:val="left"/>
      <w:pPr>
        <w:ind w:left="2160" w:hanging="720"/>
      </w:pPr>
      <w:rPr>
        <w:rFonts w:hint="eastAsia"/>
      </w:rPr>
    </w:lvl>
    <w:lvl w:ilvl="1" w:tplc="FFFFFFFF" w:tentative="1">
      <w:start w:val="1"/>
      <w:numFmt w:val="ideographTraditional"/>
      <w:lvlText w:val="%2、"/>
      <w:lvlJc w:val="left"/>
      <w:pPr>
        <w:ind w:left="2880" w:hanging="480"/>
      </w:pPr>
    </w:lvl>
    <w:lvl w:ilvl="2" w:tplc="FFFFFFFF" w:tentative="1">
      <w:start w:val="1"/>
      <w:numFmt w:val="lowerRoman"/>
      <w:lvlText w:val="%3."/>
      <w:lvlJc w:val="right"/>
      <w:pPr>
        <w:ind w:left="3360" w:hanging="480"/>
      </w:pPr>
    </w:lvl>
    <w:lvl w:ilvl="3" w:tplc="FFFFFFFF" w:tentative="1">
      <w:start w:val="1"/>
      <w:numFmt w:val="decimal"/>
      <w:lvlText w:val="%4."/>
      <w:lvlJc w:val="left"/>
      <w:pPr>
        <w:ind w:left="3840" w:hanging="480"/>
      </w:pPr>
    </w:lvl>
    <w:lvl w:ilvl="4" w:tplc="FFFFFFFF" w:tentative="1">
      <w:start w:val="1"/>
      <w:numFmt w:val="ideographTraditional"/>
      <w:lvlText w:val="%5、"/>
      <w:lvlJc w:val="left"/>
      <w:pPr>
        <w:ind w:left="4320" w:hanging="480"/>
      </w:pPr>
    </w:lvl>
    <w:lvl w:ilvl="5" w:tplc="FFFFFFFF" w:tentative="1">
      <w:start w:val="1"/>
      <w:numFmt w:val="lowerRoman"/>
      <w:lvlText w:val="%6."/>
      <w:lvlJc w:val="right"/>
      <w:pPr>
        <w:ind w:left="4800" w:hanging="480"/>
      </w:pPr>
    </w:lvl>
    <w:lvl w:ilvl="6" w:tplc="FFFFFFFF" w:tentative="1">
      <w:start w:val="1"/>
      <w:numFmt w:val="decimal"/>
      <w:lvlText w:val="%7."/>
      <w:lvlJc w:val="left"/>
      <w:pPr>
        <w:ind w:left="5280" w:hanging="480"/>
      </w:pPr>
    </w:lvl>
    <w:lvl w:ilvl="7" w:tplc="FFFFFFFF" w:tentative="1">
      <w:start w:val="1"/>
      <w:numFmt w:val="ideographTraditional"/>
      <w:lvlText w:val="%8、"/>
      <w:lvlJc w:val="left"/>
      <w:pPr>
        <w:ind w:left="5760" w:hanging="480"/>
      </w:pPr>
    </w:lvl>
    <w:lvl w:ilvl="8" w:tplc="FFFFFFFF" w:tentative="1">
      <w:start w:val="1"/>
      <w:numFmt w:val="lowerRoman"/>
      <w:lvlText w:val="%9."/>
      <w:lvlJc w:val="right"/>
      <w:pPr>
        <w:ind w:left="6240" w:hanging="480"/>
      </w:pPr>
    </w:lvl>
  </w:abstractNum>
  <w:abstractNum w:abstractNumId="4" w15:restartNumberingAfterBreak="0">
    <w:nsid w:val="13BC418D"/>
    <w:multiLevelType w:val="hybridMultilevel"/>
    <w:tmpl w:val="9E1E7ECE"/>
    <w:lvl w:ilvl="0" w:tplc="FD8CAC4E">
      <w:start w:val="1"/>
      <w:numFmt w:val="decimal"/>
      <w:suff w:val="nothing"/>
      <w:lvlText w:val="%1."/>
      <w:lvlJc w:val="left"/>
      <w:pPr>
        <w:ind w:left="420" w:hanging="420"/>
      </w:pPr>
      <w:rPr>
        <w:rFonts w:hint="default"/>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5" w15:restartNumberingAfterBreak="0">
    <w:nsid w:val="29BD768A"/>
    <w:multiLevelType w:val="hybridMultilevel"/>
    <w:tmpl w:val="1CA6628A"/>
    <w:lvl w:ilvl="0" w:tplc="8A0A294E">
      <w:start w:val="1"/>
      <w:numFmt w:val="taiwaneseCountingThousand"/>
      <w:suff w:val="nothing"/>
      <w:lvlText w:val="（%1）"/>
      <w:lvlJc w:val="left"/>
      <w:pPr>
        <w:ind w:left="72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 w15:restartNumberingAfterBreak="0">
    <w:nsid w:val="2BB86DCD"/>
    <w:multiLevelType w:val="hybridMultilevel"/>
    <w:tmpl w:val="260E58D8"/>
    <w:lvl w:ilvl="0" w:tplc="956833DE">
      <w:start w:val="1"/>
      <w:numFmt w:val="taiwaneseCountingThousand"/>
      <w:suff w:val="nothing"/>
      <w:lvlText w:val="（%1）"/>
      <w:lvlJc w:val="left"/>
      <w:pPr>
        <w:ind w:left="72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 w15:restartNumberingAfterBreak="0">
    <w:nsid w:val="2ECD3744"/>
    <w:multiLevelType w:val="hybridMultilevel"/>
    <w:tmpl w:val="10BC3CD2"/>
    <w:lvl w:ilvl="0" w:tplc="399EE956">
      <w:start w:val="1"/>
      <w:numFmt w:val="taiwaneseCountingThousand"/>
      <w:suff w:val="nothing"/>
      <w:lvlText w:val="（%1）"/>
      <w:lvlJc w:val="left"/>
      <w:pPr>
        <w:ind w:left="72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 w15:restartNumberingAfterBreak="0">
    <w:nsid w:val="2F8C3A58"/>
    <w:multiLevelType w:val="hybridMultilevel"/>
    <w:tmpl w:val="F3DCF70C"/>
    <w:lvl w:ilvl="0" w:tplc="04090001">
      <w:start w:val="1"/>
      <w:numFmt w:val="bullet"/>
      <w:lvlText w:val=""/>
      <w:lvlJc w:val="left"/>
      <w:pPr>
        <w:ind w:left="2040" w:hanging="480"/>
      </w:pPr>
      <w:rPr>
        <w:rFonts w:ascii="Wingdings" w:hAnsi="Wingdings" w:hint="default"/>
      </w:rPr>
    </w:lvl>
    <w:lvl w:ilvl="1" w:tplc="04090003" w:tentative="1">
      <w:start w:val="1"/>
      <w:numFmt w:val="bullet"/>
      <w:lvlText w:val=""/>
      <w:lvlJc w:val="left"/>
      <w:pPr>
        <w:ind w:left="2520" w:hanging="480"/>
      </w:pPr>
      <w:rPr>
        <w:rFonts w:ascii="Wingdings" w:hAnsi="Wingdings" w:hint="default"/>
      </w:rPr>
    </w:lvl>
    <w:lvl w:ilvl="2" w:tplc="04090005" w:tentative="1">
      <w:start w:val="1"/>
      <w:numFmt w:val="bullet"/>
      <w:lvlText w:val=""/>
      <w:lvlJc w:val="left"/>
      <w:pPr>
        <w:ind w:left="3000" w:hanging="480"/>
      </w:pPr>
      <w:rPr>
        <w:rFonts w:ascii="Wingdings" w:hAnsi="Wingdings" w:hint="default"/>
      </w:rPr>
    </w:lvl>
    <w:lvl w:ilvl="3" w:tplc="04090001" w:tentative="1">
      <w:start w:val="1"/>
      <w:numFmt w:val="bullet"/>
      <w:lvlText w:val=""/>
      <w:lvlJc w:val="left"/>
      <w:pPr>
        <w:ind w:left="3480" w:hanging="480"/>
      </w:pPr>
      <w:rPr>
        <w:rFonts w:ascii="Wingdings" w:hAnsi="Wingdings" w:hint="default"/>
      </w:rPr>
    </w:lvl>
    <w:lvl w:ilvl="4" w:tplc="04090003" w:tentative="1">
      <w:start w:val="1"/>
      <w:numFmt w:val="bullet"/>
      <w:lvlText w:val=""/>
      <w:lvlJc w:val="left"/>
      <w:pPr>
        <w:ind w:left="3960" w:hanging="480"/>
      </w:pPr>
      <w:rPr>
        <w:rFonts w:ascii="Wingdings" w:hAnsi="Wingdings" w:hint="default"/>
      </w:rPr>
    </w:lvl>
    <w:lvl w:ilvl="5" w:tplc="04090005" w:tentative="1">
      <w:start w:val="1"/>
      <w:numFmt w:val="bullet"/>
      <w:lvlText w:val=""/>
      <w:lvlJc w:val="left"/>
      <w:pPr>
        <w:ind w:left="4440" w:hanging="480"/>
      </w:pPr>
      <w:rPr>
        <w:rFonts w:ascii="Wingdings" w:hAnsi="Wingdings" w:hint="default"/>
      </w:rPr>
    </w:lvl>
    <w:lvl w:ilvl="6" w:tplc="04090001" w:tentative="1">
      <w:start w:val="1"/>
      <w:numFmt w:val="bullet"/>
      <w:lvlText w:val=""/>
      <w:lvlJc w:val="left"/>
      <w:pPr>
        <w:ind w:left="4920" w:hanging="480"/>
      </w:pPr>
      <w:rPr>
        <w:rFonts w:ascii="Wingdings" w:hAnsi="Wingdings" w:hint="default"/>
      </w:rPr>
    </w:lvl>
    <w:lvl w:ilvl="7" w:tplc="04090003" w:tentative="1">
      <w:start w:val="1"/>
      <w:numFmt w:val="bullet"/>
      <w:lvlText w:val=""/>
      <w:lvlJc w:val="left"/>
      <w:pPr>
        <w:ind w:left="5400" w:hanging="480"/>
      </w:pPr>
      <w:rPr>
        <w:rFonts w:ascii="Wingdings" w:hAnsi="Wingdings" w:hint="default"/>
      </w:rPr>
    </w:lvl>
    <w:lvl w:ilvl="8" w:tplc="04090005" w:tentative="1">
      <w:start w:val="1"/>
      <w:numFmt w:val="bullet"/>
      <w:lvlText w:val=""/>
      <w:lvlJc w:val="left"/>
      <w:pPr>
        <w:ind w:left="5880" w:hanging="480"/>
      </w:pPr>
      <w:rPr>
        <w:rFonts w:ascii="Wingdings" w:hAnsi="Wingdings" w:hint="default"/>
      </w:rPr>
    </w:lvl>
  </w:abstractNum>
  <w:abstractNum w:abstractNumId="9" w15:restartNumberingAfterBreak="0">
    <w:nsid w:val="46543CDF"/>
    <w:multiLevelType w:val="hybridMultilevel"/>
    <w:tmpl w:val="BEDEEBD0"/>
    <w:lvl w:ilvl="0" w:tplc="FD147786">
      <w:start w:val="1"/>
      <w:numFmt w:val="decimal"/>
      <w:lvlText w:val="%1."/>
      <w:lvlJc w:val="left"/>
      <w:pPr>
        <w:ind w:left="1560" w:hanging="360"/>
      </w:pPr>
      <w:rPr>
        <w:rFonts w:hint="default"/>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10" w15:restartNumberingAfterBreak="0">
    <w:nsid w:val="48F81BE1"/>
    <w:multiLevelType w:val="hybridMultilevel"/>
    <w:tmpl w:val="E83CFA62"/>
    <w:lvl w:ilvl="0" w:tplc="10FE58E0">
      <w:start w:val="1"/>
      <w:numFmt w:val="decimal"/>
      <w:suff w:val="nothing"/>
      <w:lvlText w:val="%1."/>
      <w:lvlJc w:val="left"/>
      <w:pPr>
        <w:ind w:left="360" w:hanging="360"/>
      </w:pPr>
      <w:rPr>
        <w:rFonts w:hint="default"/>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11" w15:restartNumberingAfterBreak="0">
    <w:nsid w:val="517001F6"/>
    <w:multiLevelType w:val="hybridMultilevel"/>
    <w:tmpl w:val="647C3F56"/>
    <w:lvl w:ilvl="0" w:tplc="4380100E">
      <w:start w:val="1"/>
      <w:numFmt w:val="decimal"/>
      <w:suff w:val="nothing"/>
      <w:lvlText w:val="%1."/>
      <w:lvlJc w:val="left"/>
      <w:pPr>
        <w:ind w:left="360" w:hanging="36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12" w15:restartNumberingAfterBreak="0">
    <w:nsid w:val="51993324"/>
    <w:multiLevelType w:val="multilevel"/>
    <w:tmpl w:val="5F84B8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2B0793C"/>
    <w:multiLevelType w:val="hybridMultilevel"/>
    <w:tmpl w:val="690EA8C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57941C71"/>
    <w:multiLevelType w:val="hybridMultilevel"/>
    <w:tmpl w:val="23A61638"/>
    <w:lvl w:ilvl="0" w:tplc="4BB24E24">
      <w:start w:val="1"/>
      <w:numFmt w:val="decimal"/>
      <w:suff w:val="nothing"/>
      <w:lvlText w:val="%1."/>
      <w:lvlJc w:val="left"/>
      <w:pPr>
        <w:ind w:left="720" w:hanging="72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5" w15:restartNumberingAfterBreak="0">
    <w:nsid w:val="7DCE0F4A"/>
    <w:multiLevelType w:val="hybridMultilevel"/>
    <w:tmpl w:val="D8BAE9F0"/>
    <w:lvl w:ilvl="0" w:tplc="5E8A4DB6">
      <w:start w:val="1"/>
      <w:numFmt w:val="taiwaneseCountingThousand"/>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6" w15:restartNumberingAfterBreak="0">
    <w:nsid w:val="7E6A08D9"/>
    <w:multiLevelType w:val="hybridMultilevel"/>
    <w:tmpl w:val="70166320"/>
    <w:lvl w:ilvl="0" w:tplc="2EFC0148">
      <w:start w:val="1"/>
      <w:numFmt w:val="taiwaneseCountingThousand"/>
      <w:suff w:val="nothing"/>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6"/>
  </w:num>
  <w:num w:numId="2">
    <w:abstractNumId w:val="15"/>
  </w:num>
  <w:num w:numId="3">
    <w:abstractNumId w:val="5"/>
  </w:num>
  <w:num w:numId="4">
    <w:abstractNumId w:val="1"/>
  </w:num>
  <w:num w:numId="5">
    <w:abstractNumId w:val="10"/>
  </w:num>
  <w:num w:numId="6">
    <w:abstractNumId w:val="9"/>
  </w:num>
  <w:num w:numId="7">
    <w:abstractNumId w:val="2"/>
  </w:num>
  <w:num w:numId="8">
    <w:abstractNumId w:val="6"/>
  </w:num>
  <w:num w:numId="9">
    <w:abstractNumId w:val="7"/>
  </w:num>
  <w:num w:numId="10">
    <w:abstractNumId w:val="8"/>
  </w:num>
  <w:num w:numId="11">
    <w:abstractNumId w:val="13"/>
  </w:num>
  <w:num w:numId="12">
    <w:abstractNumId w:val="4"/>
  </w:num>
  <w:num w:numId="13">
    <w:abstractNumId w:val="0"/>
  </w:num>
  <w:num w:numId="14">
    <w:abstractNumId w:val="14"/>
  </w:num>
  <w:num w:numId="15">
    <w:abstractNumId w:val="11"/>
  </w:num>
  <w:num w:numId="16">
    <w:abstractNumId w:val="12"/>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5F03"/>
    <w:rsid w:val="00016612"/>
    <w:rsid w:val="000F2A87"/>
    <w:rsid w:val="001043F0"/>
    <w:rsid w:val="0011386F"/>
    <w:rsid w:val="00114CE3"/>
    <w:rsid w:val="0013407D"/>
    <w:rsid w:val="00143634"/>
    <w:rsid w:val="00156C9D"/>
    <w:rsid w:val="00170DD1"/>
    <w:rsid w:val="001C2232"/>
    <w:rsid w:val="001F1D8F"/>
    <w:rsid w:val="00216B72"/>
    <w:rsid w:val="002433D7"/>
    <w:rsid w:val="00243D84"/>
    <w:rsid w:val="00284E52"/>
    <w:rsid w:val="00287BE6"/>
    <w:rsid w:val="002C23EB"/>
    <w:rsid w:val="002C729E"/>
    <w:rsid w:val="002E6490"/>
    <w:rsid w:val="002E6F9B"/>
    <w:rsid w:val="00302901"/>
    <w:rsid w:val="003507D9"/>
    <w:rsid w:val="0036033E"/>
    <w:rsid w:val="003A0C41"/>
    <w:rsid w:val="003F4092"/>
    <w:rsid w:val="00401DAB"/>
    <w:rsid w:val="004138B5"/>
    <w:rsid w:val="00421566"/>
    <w:rsid w:val="0042748C"/>
    <w:rsid w:val="00447702"/>
    <w:rsid w:val="004C343F"/>
    <w:rsid w:val="005578CF"/>
    <w:rsid w:val="00572EAA"/>
    <w:rsid w:val="00590971"/>
    <w:rsid w:val="005A0444"/>
    <w:rsid w:val="005C610B"/>
    <w:rsid w:val="005E0740"/>
    <w:rsid w:val="005F2722"/>
    <w:rsid w:val="006643BD"/>
    <w:rsid w:val="006D5E81"/>
    <w:rsid w:val="006F28C0"/>
    <w:rsid w:val="00745A70"/>
    <w:rsid w:val="007743BA"/>
    <w:rsid w:val="007A0AB6"/>
    <w:rsid w:val="007A2D1A"/>
    <w:rsid w:val="007A74E2"/>
    <w:rsid w:val="007B4EE1"/>
    <w:rsid w:val="007C2C7D"/>
    <w:rsid w:val="007F6E96"/>
    <w:rsid w:val="00851BE9"/>
    <w:rsid w:val="008660FA"/>
    <w:rsid w:val="008D3615"/>
    <w:rsid w:val="009053AA"/>
    <w:rsid w:val="0095790C"/>
    <w:rsid w:val="009A3599"/>
    <w:rsid w:val="009E7750"/>
    <w:rsid w:val="00A25F03"/>
    <w:rsid w:val="00A41686"/>
    <w:rsid w:val="00A806CE"/>
    <w:rsid w:val="00AF5615"/>
    <w:rsid w:val="00BD62E5"/>
    <w:rsid w:val="00C451C6"/>
    <w:rsid w:val="00C904DD"/>
    <w:rsid w:val="00CB15AA"/>
    <w:rsid w:val="00D136BF"/>
    <w:rsid w:val="00D1796B"/>
    <w:rsid w:val="00D806B0"/>
    <w:rsid w:val="00D8427F"/>
    <w:rsid w:val="00D93AC1"/>
    <w:rsid w:val="00DA2229"/>
    <w:rsid w:val="00DB1673"/>
    <w:rsid w:val="00DD3D17"/>
    <w:rsid w:val="00DD5C1B"/>
    <w:rsid w:val="00E041C6"/>
    <w:rsid w:val="00E178A6"/>
    <w:rsid w:val="00E5406B"/>
    <w:rsid w:val="00E73AD8"/>
    <w:rsid w:val="00E81099"/>
    <w:rsid w:val="00EA3D6F"/>
    <w:rsid w:val="00EA4C75"/>
    <w:rsid w:val="00EB5144"/>
    <w:rsid w:val="00EE64DC"/>
    <w:rsid w:val="00F54FD3"/>
    <w:rsid w:val="00F668BA"/>
    <w:rsid w:val="00F70F24"/>
    <w:rsid w:val="00F7756F"/>
    <w:rsid w:val="00F951C8"/>
    <w:rsid w:val="00FB0411"/>
    <w:rsid w:val="00FE07D4"/>
    <w:rsid w:val="00FE4586"/>
    <w:rsid w:val="00FE6453"/>
    <w:rsid w:val="00FF25E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5CB3888"/>
  <w15:chartTrackingRefBased/>
  <w15:docId w15:val="{F4F318F9-B0B4-4415-9792-7A110A62A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5F03"/>
    <w:pPr>
      <w:ind w:leftChars="200" w:left="480"/>
    </w:pPr>
  </w:style>
  <w:style w:type="table" w:styleId="a4">
    <w:name w:val="Table Grid"/>
    <w:basedOn w:val="a1"/>
    <w:uiPriority w:val="39"/>
    <w:rsid w:val="00A25F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D93AC1"/>
    <w:pPr>
      <w:tabs>
        <w:tab w:val="center" w:pos="4153"/>
        <w:tab w:val="right" w:pos="8306"/>
      </w:tabs>
      <w:snapToGrid w:val="0"/>
    </w:pPr>
    <w:rPr>
      <w:sz w:val="20"/>
      <w:szCs w:val="20"/>
    </w:rPr>
  </w:style>
  <w:style w:type="character" w:customStyle="1" w:styleId="a6">
    <w:name w:val="頁首 字元"/>
    <w:basedOn w:val="a0"/>
    <w:link w:val="a5"/>
    <w:uiPriority w:val="99"/>
    <w:rsid w:val="00D93AC1"/>
    <w:rPr>
      <w:sz w:val="20"/>
      <w:szCs w:val="20"/>
    </w:rPr>
  </w:style>
  <w:style w:type="paragraph" w:styleId="a7">
    <w:name w:val="footer"/>
    <w:basedOn w:val="a"/>
    <w:link w:val="a8"/>
    <w:uiPriority w:val="99"/>
    <w:unhideWhenUsed/>
    <w:rsid w:val="00D93AC1"/>
    <w:pPr>
      <w:tabs>
        <w:tab w:val="center" w:pos="4153"/>
        <w:tab w:val="right" w:pos="8306"/>
      </w:tabs>
      <w:snapToGrid w:val="0"/>
    </w:pPr>
    <w:rPr>
      <w:sz w:val="20"/>
      <w:szCs w:val="20"/>
    </w:rPr>
  </w:style>
  <w:style w:type="character" w:customStyle="1" w:styleId="a8">
    <w:name w:val="頁尾 字元"/>
    <w:basedOn w:val="a0"/>
    <w:link w:val="a7"/>
    <w:uiPriority w:val="99"/>
    <w:rsid w:val="00D93AC1"/>
    <w:rPr>
      <w:sz w:val="20"/>
      <w:szCs w:val="20"/>
    </w:rPr>
  </w:style>
  <w:style w:type="paragraph" w:styleId="Web">
    <w:name w:val="Normal (Web)"/>
    <w:basedOn w:val="a"/>
    <w:uiPriority w:val="99"/>
    <w:semiHidden/>
    <w:unhideWhenUsed/>
    <w:rsid w:val="00C451C6"/>
    <w:pPr>
      <w:widowControl/>
      <w:spacing w:before="100" w:beforeAutospacing="1" w:after="100" w:afterAutospacing="1"/>
    </w:pPr>
    <w:rPr>
      <w:rFonts w:ascii="Times New Roman" w:eastAsia="Times New Roman" w:hAnsi="Times New Roman" w:cs="Times New Roman"/>
      <w:kern w:val="0"/>
      <w:szCs w:val="24"/>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896C49-0D3E-4D52-8A6C-5B3F8EB06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236</Words>
  <Characters>1351</Characters>
  <Application>Microsoft Office Word</Application>
  <DocSecurity>0</DocSecurity>
  <Lines>11</Lines>
  <Paragraphs>3</Paragraphs>
  <ScaleCrop>false</ScaleCrop>
  <Company/>
  <LinksUpToDate>false</LinksUpToDate>
  <CharactersWithSpaces>1584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Jess&amp;Jenny</dc:creator>
  <cp:keywords/>
  <dc:description/>
  <cp:lastModifiedBy>蔣宜芳</cp:lastModifiedBy>
  <cp:revision>17</cp:revision>
  <dcterms:created xsi:type="dcterms:W3CDTF">2025-09-19T08:10:00Z</dcterms:created>
  <dcterms:modified xsi:type="dcterms:W3CDTF">2025-12-16T01:02:00Z</dcterms:modified>
</cp:coreProperties>
</file>